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0" w:firstLineChars="0"/>
        <w:rPr>
          <w:rFonts w:hint="default" w:eastAsia="黑体" w:cs="方正小标宋简体"/>
          <w:szCs w:val="32"/>
          <w:lang w:val="en-US" w:eastAsia="zh-CN"/>
        </w:rPr>
      </w:pPr>
      <w:r>
        <w:rPr>
          <w:rFonts w:hint="eastAsia" w:eastAsia="黑体" w:cs="方正小标宋简体"/>
          <w:szCs w:val="32"/>
          <w:lang w:eastAsia="zh-CN"/>
        </w:rPr>
        <w:t>附件</w:t>
      </w:r>
      <w:r>
        <w:rPr>
          <w:rFonts w:hint="eastAsia" w:eastAsia="黑体" w:cs="方正小标宋简体"/>
          <w:szCs w:val="32"/>
          <w:lang w:val="en-US" w:eastAsia="zh-CN"/>
        </w:rPr>
        <w:t>1</w:t>
      </w:r>
    </w:p>
    <w:p>
      <w:pPr>
        <w:spacing w:line="640" w:lineRule="exact"/>
        <w:ind w:firstLine="0" w:firstLineChars="0"/>
      </w:pPr>
      <w:r>
        <w:rPr>
          <w:rFonts w:hint="eastAsia" w:eastAsia="黑体" w:cs="方正小标宋简体"/>
          <w:szCs w:val="32"/>
        </w:rPr>
        <w:t>两项改革“后半篇”文章乡镇级片区应急体系专项规划</w:t>
      </w:r>
    </w:p>
    <w:p>
      <w:pPr>
        <w:spacing w:line="640" w:lineRule="exact"/>
        <w:jc w:val="center"/>
      </w:pPr>
    </w:p>
    <w:p>
      <w:pPr>
        <w:spacing w:line="640" w:lineRule="exact"/>
        <w:ind w:firstLine="0" w:firstLineChars="0"/>
        <w:jc w:val="center"/>
        <w:rPr>
          <w:rFonts w:eastAsia="方正小标宋简体" w:cs="方正小标宋简体"/>
          <w:b/>
          <w:bCs/>
          <w:sz w:val="44"/>
          <w:szCs w:val="44"/>
        </w:rPr>
      </w:pPr>
    </w:p>
    <w:p>
      <w:pPr>
        <w:spacing w:line="640" w:lineRule="exact"/>
        <w:ind w:firstLine="0" w:firstLineChars="0"/>
        <w:jc w:val="center"/>
        <w:rPr>
          <w:rFonts w:eastAsia="方正小标宋简体" w:cs="方正小标宋简体"/>
          <w:b/>
          <w:bCs/>
          <w:sz w:val="44"/>
          <w:szCs w:val="44"/>
        </w:rPr>
      </w:pPr>
    </w:p>
    <w:p>
      <w:pPr>
        <w:spacing w:line="640" w:lineRule="exact"/>
        <w:ind w:firstLine="0" w:firstLineChars="0"/>
        <w:jc w:val="center"/>
        <w:rPr>
          <w:rFonts w:eastAsia="方正小标宋简体" w:cs="方正小标宋简体"/>
          <w:b w:val="0"/>
          <w:bCs w:val="0"/>
          <w:sz w:val="44"/>
          <w:szCs w:val="44"/>
        </w:rPr>
      </w:pPr>
      <w:r>
        <w:rPr>
          <w:rFonts w:hint="eastAsia" w:eastAsia="方正小标宋简体" w:cs="方正小标宋简体"/>
          <w:b w:val="0"/>
          <w:bCs w:val="0"/>
          <w:sz w:val="44"/>
          <w:szCs w:val="44"/>
        </w:rPr>
        <w:fldChar w:fldCharType="begin"/>
      </w:r>
      <w:r>
        <w:rPr>
          <w:rFonts w:hint="eastAsia" w:eastAsia="方正小标宋简体" w:cs="方正小标宋简体"/>
          <w:b w:val="0"/>
          <w:bCs w:val="0"/>
          <w:sz w:val="44"/>
          <w:szCs w:val="44"/>
        </w:rPr>
        <w:instrText xml:space="preserve"> HYPERLINK \l "_Toc97037308" </w:instrText>
      </w:r>
      <w:r>
        <w:rPr>
          <w:rFonts w:hint="eastAsia" w:eastAsia="方正小标宋简体" w:cs="方正小标宋简体"/>
          <w:b w:val="0"/>
          <w:bCs w:val="0"/>
          <w:sz w:val="44"/>
          <w:szCs w:val="44"/>
        </w:rPr>
        <w:fldChar w:fldCharType="separate"/>
      </w:r>
      <w:r>
        <w:rPr>
          <w:rFonts w:hint="eastAsia" w:eastAsia="方正小标宋简体" w:cs="方正小标宋简体"/>
          <w:b w:val="0"/>
          <w:bCs w:val="0"/>
          <w:sz w:val="44"/>
          <w:szCs w:val="44"/>
          <w:lang w:val="en-US" w:eastAsia="zh-CN"/>
        </w:rPr>
        <w:t>乐至</w:t>
      </w:r>
      <w:r>
        <w:rPr>
          <w:rFonts w:hint="eastAsia" w:eastAsia="方正小标宋简体" w:cs="方正小标宋简体"/>
          <w:b w:val="0"/>
          <w:bCs w:val="0"/>
          <w:sz w:val="44"/>
          <w:szCs w:val="44"/>
        </w:rPr>
        <w:t>县</w:t>
      </w:r>
    </w:p>
    <w:p>
      <w:pPr>
        <w:spacing w:line="640" w:lineRule="exact"/>
        <w:ind w:firstLine="0" w:firstLineChars="0"/>
        <w:jc w:val="center"/>
        <w:rPr>
          <w:rFonts w:eastAsia="方正小标宋简体" w:cs="方正小标宋简体"/>
          <w:b w:val="0"/>
          <w:bCs w:val="0"/>
          <w:sz w:val="44"/>
          <w:szCs w:val="44"/>
        </w:rPr>
      </w:pPr>
      <w:r>
        <w:rPr>
          <w:rFonts w:hint="eastAsia" w:eastAsia="方正小标宋简体" w:cs="方正小标宋简体"/>
          <w:b w:val="0"/>
          <w:bCs w:val="0"/>
          <w:sz w:val="44"/>
          <w:szCs w:val="44"/>
          <w:lang w:val="en-US" w:eastAsia="zh-CN"/>
        </w:rPr>
        <w:t>陈毅故里红色旅游康养片区应急体系专项规划</w:t>
      </w:r>
      <w:r>
        <w:rPr>
          <w:rFonts w:hint="eastAsia" w:eastAsia="方正小标宋简体" w:cs="方正小标宋简体"/>
          <w:b w:val="0"/>
          <w:bCs w:val="0"/>
          <w:sz w:val="44"/>
          <w:szCs w:val="44"/>
        </w:rPr>
        <w:fldChar w:fldCharType="end"/>
      </w:r>
    </w:p>
    <w:p>
      <w:pPr>
        <w:spacing w:line="640" w:lineRule="exact"/>
        <w:ind w:firstLine="0" w:firstLineChars="0"/>
        <w:jc w:val="center"/>
        <w:rPr>
          <w:rFonts w:hint="eastAsia" w:eastAsia="方正小标宋简体" w:cs="方正小标宋简体"/>
          <w:b/>
          <w:bCs/>
          <w:sz w:val="44"/>
          <w:szCs w:val="44"/>
          <w:lang w:eastAsia="zh-CN"/>
        </w:rPr>
      </w:pPr>
      <w:r>
        <w:rPr>
          <w:rFonts w:hint="eastAsia" w:eastAsia="方正小标宋简体" w:cs="方正小标宋简体"/>
          <w:b/>
          <w:bCs/>
          <w:sz w:val="44"/>
          <w:szCs w:val="44"/>
          <w:lang w:eastAsia="zh-CN"/>
        </w:rPr>
        <w:t>（征求意见稿）</w:t>
      </w:r>
    </w:p>
    <w:p>
      <w:pPr>
        <w:spacing w:line="640" w:lineRule="exact"/>
        <w:ind w:firstLine="0" w:firstLineChars="0"/>
        <w:jc w:val="center"/>
        <w:rPr>
          <w:rStyle w:val="15"/>
          <w:sz w:val="28"/>
          <w:szCs w:val="28"/>
          <w:u w:val="none"/>
        </w:rPr>
      </w:pPr>
      <w:r>
        <w:rPr>
          <w:rFonts w:hint="eastAsia" w:eastAsia="方正小标宋简体" w:cs="方正小标宋简体"/>
          <w:b/>
          <w:bCs/>
          <w:sz w:val="44"/>
          <w:szCs w:val="44"/>
        </w:rPr>
        <w:t>（2021-2035年）</w:t>
      </w:r>
    </w:p>
    <w:p>
      <w:pPr>
        <w:ind w:firstLine="560"/>
        <w:rPr>
          <w:rStyle w:val="15"/>
          <w:sz w:val="28"/>
          <w:szCs w:val="28"/>
          <w:u w:val="none"/>
        </w:rPr>
      </w:pPr>
    </w:p>
    <w:p>
      <w:pPr>
        <w:ind w:firstLine="560"/>
        <w:rPr>
          <w:rStyle w:val="15"/>
          <w:sz w:val="28"/>
          <w:szCs w:val="28"/>
          <w:u w:val="none"/>
        </w:rPr>
      </w:pPr>
    </w:p>
    <w:p>
      <w:pPr>
        <w:jc w:val="center"/>
        <w:rPr>
          <w:szCs w:val="32"/>
        </w:rPr>
      </w:pPr>
      <w:bookmarkStart w:id="47" w:name="_GoBack"/>
      <w:bookmarkEnd w:id="47"/>
    </w:p>
    <w:p>
      <w:pPr>
        <w:jc w:val="center"/>
        <w:rPr>
          <w:szCs w:val="32"/>
        </w:rPr>
      </w:pPr>
    </w:p>
    <w:p>
      <w:pPr>
        <w:jc w:val="center"/>
        <w:rPr>
          <w:szCs w:val="32"/>
        </w:rPr>
      </w:pPr>
    </w:p>
    <w:p>
      <w:pPr>
        <w:jc w:val="center"/>
        <w:rPr>
          <w:szCs w:val="32"/>
        </w:rPr>
      </w:pPr>
      <w:r>
        <w:rPr>
          <w:rFonts w:hint="eastAsia"/>
          <w:szCs w:val="32"/>
        </w:rPr>
        <w:t>（文本、图集）</w:t>
      </w:r>
    </w:p>
    <w:p>
      <w:pPr>
        <w:ind w:firstLine="560"/>
        <w:rPr>
          <w:rStyle w:val="15"/>
          <w:sz w:val="28"/>
          <w:szCs w:val="28"/>
          <w:u w:val="none"/>
        </w:rPr>
      </w:pPr>
    </w:p>
    <w:p>
      <w:pPr>
        <w:ind w:firstLine="643"/>
        <w:jc w:val="center"/>
        <w:rPr>
          <w:rFonts w:eastAsia="黑体" w:cs="仿宋"/>
          <w:b/>
          <w:bCs/>
          <w:szCs w:val="32"/>
        </w:rPr>
      </w:pPr>
    </w:p>
    <w:p>
      <w:pPr>
        <w:ind w:left="0" w:leftChars="0" w:firstLine="0" w:firstLineChars="0"/>
        <w:jc w:val="both"/>
        <w:rPr>
          <w:rFonts w:eastAsia="黑体" w:cs="仿宋"/>
          <w:b/>
          <w:bCs/>
          <w:szCs w:val="32"/>
        </w:rPr>
      </w:pPr>
    </w:p>
    <w:p>
      <w:pPr>
        <w:ind w:firstLine="643"/>
        <w:jc w:val="center"/>
        <w:rPr>
          <w:rFonts w:eastAsia="黑体" w:cs="仿宋"/>
          <w:b/>
          <w:bCs/>
          <w:szCs w:val="32"/>
        </w:rPr>
      </w:pPr>
    </w:p>
    <w:p>
      <w:pPr>
        <w:jc w:val="center"/>
        <w:rPr>
          <w:rFonts w:eastAsia="黑体" w:cs="仿宋"/>
          <w:szCs w:val="32"/>
        </w:rPr>
      </w:pPr>
      <w:r>
        <w:rPr>
          <w:rFonts w:hint="eastAsia" w:eastAsia="黑体" w:cs="仿宋"/>
          <w:szCs w:val="32"/>
          <w:lang w:val="en-US" w:eastAsia="zh-CN"/>
        </w:rPr>
        <w:t>乐至县</w:t>
      </w:r>
      <w:r>
        <w:rPr>
          <w:rFonts w:hint="eastAsia" w:eastAsia="黑体" w:cs="仿宋"/>
          <w:szCs w:val="32"/>
        </w:rPr>
        <w:t>应急局</w:t>
      </w:r>
    </w:p>
    <w:p>
      <w:pPr>
        <w:pStyle w:val="8"/>
        <w:jc w:val="center"/>
        <w:rPr>
          <w:rFonts w:hint="eastAsia" w:eastAsia="黑体" w:cs="仿宋"/>
          <w:sz w:val="32"/>
          <w:szCs w:val="32"/>
        </w:rPr>
      </w:pPr>
      <w:r>
        <w:rPr>
          <w:rFonts w:hint="eastAsia" w:eastAsia="黑体" w:cs="仿宋"/>
          <w:sz w:val="32"/>
          <w:szCs w:val="32"/>
        </w:rPr>
        <w:t>二〇二二年</w:t>
      </w:r>
      <w:r>
        <w:rPr>
          <w:rFonts w:hint="eastAsia" w:eastAsia="黑体" w:cs="仿宋"/>
          <w:sz w:val="32"/>
          <w:szCs w:val="32"/>
          <w:lang w:val="en-US" w:eastAsia="zh-CN"/>
        </w:rPr>
        <w:t>五</w:t>
      </w:r>
      <w:r>
        <w:rPr>
          <w:rFonts w:hint="eastAsia" w:eastAsia="黑体" w:cs="仿宋"/>
          <w:sz w:val="32"/>
          <w:szCs w:val="32"/>
        </w:rPr>
        <w:t>月</w:t>
      </w:r>
    </w:p>
    <w:p>
      <w:pPr>
        <w:spacing w:before="0" w:beforeLines="0" w:after="0" w:afterLines="0" w:line="240" w:lineRule="auto"/>
        <w:ind w:left="0" w:leftChars="0" w:right="0" w:rightChars="0" w:firstLine="0" w:firstLineChars="0"/>
        <w:jc w:val="center"/>
        <w:rPr>
          <w:rFonts w:hint="eastAsia" w:ascii="黑体" w:hAnsi="黑体" w:eastAsia="黑体" w:cs="黑体"/>
          <w:kern w:val="2"/>
          <w:sz w:val="44"/>
          <w:szCs w:val="44"/>
          <w:lang w:val="en-US" w:eastAsia="zh-CN" w:bidi="ar-SA"/>
        </w:rPr>
        <w:sectPr>
          <w:pgSz w:w="11906" w:h="16838"/>
          <w:pgMar w:top="2098" w:right="1474" w:bottom="1984" w:left="1587" w:header="851" w:footer="992" w:gutter="0"/>
          <w:cols w:space="0" w:num="1"/>
          <w:rtlGutter w:val="0"/>
          <w:docGrid w:type="lines" w:linePitch="439" w:charSpace="0"/>
        </w:sectPr>
      </w:pPr>
      <w:bookmarkStart w:id="0" w:name="_Toc27088"/>
      <w:bookmarkStart w:id="1" w:name="_Toc99734369"/>
    </w:p>
    <w:sdt>
      <w:sdtPr>
        <w:rPr>
          <w:rFonts w:hint="eastAsia" w:ascii="黑体" w:hAnsi="黑体" w:eastAsia="黑体" w:cs="黑体"/>
          <w:kern w:val="2"/>
          <w:sz w:val="44"/>
          <w:szCs w:val="44"/>
          <w:lang w:val="en-US" w:eastAsia="zh-CN" w:bidi="ar-SA"/>
        </w:rPr>
        <w:id w:val="147480436"/>
        <w15:color w:val="DBDBDB"/>
        <w:docPartObj>
          <w:docPartGallery w:val="Table of Contents"/>
          <w:docPartUnique/>
        </w:docPartObj>
      </w:sdtPr>
      <w:sdtEndPr>
        <w:rPr>
          <w:rFonts w:hint="eastAsia" w:ascii="Times New Roman" w:hAnsi="Times New Roman" w:eastAsia="黑体" w:cs="Times New Roman"/>
          <w:b/>
          <w:bCs/>
          <w:kern w:val="44"/>
          <w:sz w:val="32"/>
          <w:szCs w:val="44"/>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r>
            <w:rPr>
              <w:rFonts w:hint="eastAsia" w:ascii="黑体" w:hAnsi="黑体" w:eastAsia="黑体" w:cs="黑体"/>
              <w:sz w:val="44"/>
              <w:szCs w:val="44"/>
            </w:rPr>
            <w:t>目录</w:t>
          </w:r>
        </w:p>
        <w:p>
          <w:pPr>
            <w:pStyle w:val="10"/>
            <w:tabs>
              <w:tab w:val="right" w:leader="dot" w:pos="8845"/>
            </w:tabs>
          </w:pPr>
          <w:r>
            <w:rPr>
              <w:rFonts w:hint="eastAsia" w:ascii="Times New Roman" w:hAnsi="Times New Roman"/>
              <w:lang w:val="en-US" w:eastAsia="zh-CN"/>
            </w:rPr>
            <w:fldChar w:fldCharType="begin"/>
          </w:r>
          <w:r>
            <w:rPr>
              <w:rFonts w:hint="eastAsia" w:ascii="Times New Roman" w:hAnsi="Times New Roman"/>
              <w:lang w:val="en-US" w:eastAsia="zh-CN"/>
            </w:rPr>
            <w:instrText xml:space="preserve">TOC \o "1-2" \h \u </w:instrText>
          </w:r>
          <w:r>
            <w:rPr>
              <w:rFonts w:hint="eastAsia" w:ascii="Times New Roman" w:hAnsi="Times New Roman"/>
              <w:lang w:val="en-US" w:eastAsia="zh-CN"/>
            </w:rPr>
            <w:fldChar w:fldCharType="separate"/>
          </w:r>
          <w:r>
            <w:rPr>
              <w:rFonts w:hint="eastAsia" w:ascii="黑体" w:hAnsi="黑体" w:eastAsia="黑体" w:cs="黑体"/>
              <w:lang w:val="en-US" w:eastAsia="zh-CN"/>
            </w:rPr>
            <w:fldChar w:fldCharType="begin"/>
          </w:r>
          <w:r>
            <w:rPr>
              <w:rFonts w:hint="eastAsia" w:ascii="黑体" w:hAnsi="黑体" w:eastAsia="黑体" w:cs="黑体"/>
              <w:lang w:val="en-US" w:eastAsia="zh-CN"/>
            </w:rPr>
            <w:instrText xml:space="preserve"> HYPERLINK \l _Toc489 </w:instrText>
          </w:r>
          <w:r>
            <w:rPr>
              <w:rFonts w:hint="eastAsia" w:ascii="黑体" w:hAnsi="黑体" w:eastAsia="黑体" w:cs="黑体"/>
              <w:lang w:val="en-US" w:eastAsia="zh-CN"/>
            </w:rPr>
            <w:fldChar w:fldCharType="separate"/>
          </w:r>
          <w:r>
            <w:rPr>
              <w:rFonts w:hint="eastAsia" w:ascii="黑体" w:hAnsi="黑体" w:eastAsia="黑体" w:cs="黑体"/>
              <w:lang w:val="en-US" w:eastAsia="zh-CN"/>
            </w:rPr>
            <w:t>一、</w:t>
          </w:r>
          <w:r>
            <w:rPr>
              <w:rFonts w:hint="eastAsia" w:ascii="黑体" w:hAnsi="黑体" w:eastAsia="黑体" w:cs="黑体"/>
            </w:rPr>
            <w:t>总则</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_Toc489 \h </w:instrText>
          </w:r>
          <w:r>
            <w:rPr>
              <w:rFonts w:hint="eastAsia" w:ascii="黑体" w:hAnsi="黑体" w:eastAsia="黑体" w:cs="黑体"/>
            </w:rPr>
            <w:fldChar w:fldCharType="separate"/>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lang w:val="en-US" w:eastAsia="zh-CN"/>
            </w:rPr>
            <w:fldChar w:fldCharType="end"/>
          </w:r>
        </w:p>
        <w:p>
          <w:pPr>
            <w:pStyle w:val="11"/>
            <w:tabs>
              <w:tab w:val="right" w:leader="dot" w:pos="8845"/>
            </w:tabs>
            <w:rPr>
              <w:rFonts w:hint="eastAsia" w:ascii="楷体" w:hAnsi="楷体" w:eastAsia="楷体" w:cs="楷体"/>
            </w:rPr>
          </w:pPr>
          <w:r>
            <w:rPr>
              <w:rFonts w:hint="eastAsia" w:ascii="楷体" w:hAnsi="楷体" w:eastAsia="楷体" w:cs="楷体"/>
              <w:lang w:val="en-US" w:eastAsia="zh-CN"/>
            </w:rPr>
            <w:fldChar w:fldCharType="begin"/>
          </w:r>
          <w:r>
            <w:rPr>
              <w:rFonts w:hint="eastAsia" w:ascii="楷体" w:hAnsi="楷体" w:eastAsia="楷体" w:cs="楷体"/>
              <w:lang w:val="en-US" w:eastAsia="zh-CN"/>
            </w:rPr>
            <w:instrText xml:space="preserve"> HYPERLINK \l _Toc24696 </w:instrText>
          </w:r>
          <w:r>
            <w:rPr>
              <w:rFonts w:hint="eastAsia" w:ascii="楷体" w:hAnsi="楷体" w:eastAsia="楷体" w:cs="楷体"/>
              <w:lang w:val="en-US" w:eastAsia="zh-CN"/>
            </w:rPr>
            <w:fldChar w:fldCharType="separate"/>
          </w:r>
          <w:r>
            <w:rPr>
              <w:rFonts w:hint="eastAsia" w:ascii="楷体" w:hAnsi="楷体" w:eastAsia="楷体" w:cs="楷体"/>
              <w:lang w:eastAsia="zh-CN"/>
            </w:rPr>
            <w:t>（</w:t>
          </w:r>
          <w:r>
            <w:rPr>
              <w:rFonts w:hint="eastAsia" w:ascii="楷体" w:hAnsi="楷体" w:eastAsia="楷体" w:cs="楷体"/>
              <w:lang w:val="en-US" w:eastAsia="zh-CN"/>
            </w:rPr>
            <w:t>一</w:t>
          </w:r>
          <w:r>
            <w:rPr>
              <w:rFonts w:hint="eastAsia" w:ascii="楷体" w:hAnsi="楷体" w:eastAsia="楷体" w:cs="楷体"/>
              <w:lang w:eastAsia="zh-CN"/>
            </w:rPr>
            <w:t>）</w:t>
          </w:r>
          <w:r>
            <w:rPr>
              <w:rFonts w:hint="eastAsia" w:ascii="楷体" w:hAnsi="楷体" w:eastAsia="楷体" w:cs="楷体"/>
              <w:lang w:val="en-US" w:eastAsia="zh-CN"/>
            </w:rPr>
            <w:t>地位作用</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_Toc24696 \h </w:instrText>
          </w:r>
          <w:r>
            <w:rPr>
              <w:rFonts w:hint="eastAsia" w:ascii="楷体" w:hAnsi="楷体" w:eastAsia="楷体" w:cs="楷体"/>
            </w:rPr>
            <w:fldChar w:fldCharType="separate"/>
          </w:r>
          <w:r>
            <w:rPr>
              <w:rFonts w:hint="eastAsia" w:ascii="楷体" w:hAnsi="楷体" w:eastAsia="楷体" w:cs="楷体"/>
            </w:rPr>
            <w:t>1</w:t>
          </w:r>
          <w:r>
            <w:rPr>
              <w:rFonts w:hint="eastAsia" w:ascii="楷体" w:hAnsi="楷体" w:eastAsia="楷体" w:cs="楷体"/>
            </w:rPr>
            <w:fldChar w:fldCharType="end"/>
          </w:r>
          <w:r>
            <w:rPr>
              <w:rFonts w:hint="eastAsia" w:ascii="楷体" w:hAnsi="楷体" w:eastAsia="楷体" w:cs="楷体"/>
              <w:lang w:val="en-US" w:eastAsia="zh-CN"/>
            </w:rPr>
            <w:fldChar w:fldCharType="end"/>
          </w:r>
        </w:p>
        <w:p>
          <w:pPr>
            <w:pStyle w:val="11"/>
            <w:tabs>
              <w:tab w:val="right" w:leader="dot" w:pos="8845"/>
            </w:tabs>
            <w:rPr>
              <w:rFonts w:hint="eastAsia" w:ascii="楷体" w:hAnsi="楷体" w:eastAsia="楷体" w:cs="楷体"/>
            </w:rPr>
          </w:pPr>
          <w:r>
            <w:rPr>
              <w:rFonts w:hint="eastAsia" w:ascii="楷体" w:hAnsi="楷体" w:eastAsia="楷体" w:cs="楷体"/>
              <w:lang w:val="en-US" w:eastAsia="zh-CN"/>
            </w:rPr>
            <w:fldChar w:fldCharType="begin"/>
          </w:r>
          <w:r>
            <w:rPr>
              <w:rFonts w:hint="eastAsia" w:ascii="楷体" w:hAnsi="楷体" w:eastAsia="楷体" w:cs="楷体"/>
              <w:lang w:val="en-US" w:eastAsia="zh-CN"/>
            </w:rPr>
            <w:instrText xml:space="preserve"> HYPERLINK \l _Toc26171 </w:instrText>
          </w:r>
          <w:r>
            <w:rPr>
              <w:rFonts w:hint="eastAsia" w:ascii="楷体" w:hAnsi="楷体" w:eastAsia="楷体" w:cs="楷体"/>
              <w:lang w:val="en-US" w:eastAsia="zh-CN"/>
            </w:rPr>
            <w:fldChar w:fldCharType="separate"/>
          </w:r>
          <w:r>
            <w:rPr>
              <w:rFonts w:hint="eastAsia" w:ascii="楷体" w:hAnsi="楷体" w:eastAsia="楷体" w:cs="楷体"/>
              <w:lang w:eastAsia="zh-CN"/>
            </w:rPr>
            <w:t>（</w:t>
          </w:r>
          <w:r>
            <w:rPr>
              <w:rFonts w:hint="eastAsia" w:ascii="楷体" w:hAnsi="楷体" w:eastAsia="楷体" w:cs="楷体"/>
              <w:lang w:val="en-US" w:eastAsia="zh-CN"/>
            </w:rPr>
            <w:t>二</w:t>
          </w:r>
          <w:r>
            <w:rPr>
              <w:rFonts w:hint="eastAsia" w:ascii="楷体" w:hAnsi="楷体" w:eastAsia="楷体" w:cs="楷体"/>
              <w:lang w:eastAsia="zh-CN"/>
            </w:rPr>
            <w:t>）</w:t>
          </w:r>
          <w:r>
            <w:rPr>
              <w:rFonts w:hint="eastAsia" w:ascii="楷体" w:hAnsi="楷体" w:eastAsia="楷体" w:cs="楷体"/>
            </w:rPr>
            <w:t>规划依据</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_Toc26171 \h </w:instrText>
          </w:r>
          <w:r>
            <w:rPr>
              <w:rFonts w:hint="eastAsia" w:ascii="楷体" w:hAnsi="楷体" w:eastAsia="楷体" w:cs="楷体"/>
            </w:rPr>
            <w:fldChar w:fldCharType="separate"/>
          </w:r>
          <w:r>
            <w:rPr>
              <w:rFonts w:hint="eastAsia" w:ascii="楷体" w:hAnsi="楷体" w:eastAsia="楷体" w:cs="楷体"/>
            </w:rPr>
            <w:t>1</w:t>
          </w:r>
          <w:r>
            <w:rPr>
              <w:rFonts w:hint="eastAsia" w:ascii="楷体" w:hAnsi="楷体" w:eastAsia="楷体" w:cs="楷体"/>
            </w:rPr>
            <w:fldChar w:fldCharType="end"/>
          </w:r>
          <w:r>
            <w:rPr>
              <w:rFonts w:hint="eastAsia" w:ascii="楷体" w:hAnsi="楷体" w:eastAsia="楷体" w:cs="楷体"/>
              <w:lang w:val="en-US" w:eastAsia="zh-CN"/>
            </w:rPr>
            <w:fldChar w:fldCharType="end"/>
          </w:r>
        </w:p>
        <w:p>
          <w:pPr>
            <w:pStyle w:val="11"/>
            <w:tabs>
              <w:tab w:val="right" w:leader="dot" w:pos="8845"/>
            </w:tabs>
            <w:rPr>
              <w:rFonts w:hint="eastAsia" w:ascii="楷体" w:hAnsi="楷体" w:eastAsia="楷体" w:cs="楷体"/>
            </w:rPr>
          </w:pPr>
          <w:r>
            <w:rPr>
              <w:rFonts w:hint="eastAsia" w:ascii="楷体" w:hAnsi="楷体" w:eastAsia="楷体" w:cs="楷体"/>
              <w:lang w:val="en-US" w:eastAsia="zh-CN"/>
            </w:rPr>
            <w:fldChar w:fldCharType="begin"/>
          </w:r>
          <w:r>
            <w:rPr>
              <w:rFonts w:hint="eastAsia" w:ascii="楷体" w:hAnsi="楷体" w:eastAsia="楷体" w:cs="楷体"/>
              <w:lang w:val="en-US" w:eastAsia="zh-CN"/>
            </w:rPr>
            <w:instrText xml:space="preserve"> HYPERLINK \l _Toc11791 </w:instrText>
          </w:r>
          <w:r>
            <w:rPr>
              <w:rFonts w:hint="eastAsia" w:ascii="楷体" w:hAnsi="楷体" w:eastAsia="楷体" w:cs="楷体"/>
              <w:lang w:val="en-US" w:eastAsia="zh-CN"/>
            </w:rPr>
            <w:fldChar w:fldCharType="separate"/>
          </w:r>
          <w:r>
            <w:rPr>
              <w:rFonts w:hint="eastAsia" w:ascii="楷体" w:hAnsi="楷体" w:eastAsia="楷体" w:cs="楷体"/>
              <w:szCs w:val="32"/>
              <w:highlight w:val="none"/>
              <w:lang w:val="en-US" w:eastAsia="zh-CN"/>
            </w:rPr>
            <w:t>（三）规划原则</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_Toc11791 \h </w:instrText>
          </w:r>
          <w:r>
            <w:rPr>
              <w:rFonts w:hint="eastAsia" w:ascii="楷体" w:hAnsi="楷体" w:eastAsia="楷体" w:cs="楷体"/>
            </w:rPr>
            <w:fldChar w:fldCharType="separate"/>
          </w:r>
          <w:r>
            <w:rPr>
              <w:rFonts w:hint="eastAsia" w:ascii="楷体" w:hAnsi="楷体" w:eastAsia="楷体" w:cs="楷体"/>
            </w:rPr>
            <w:t>2</w:t>
          </w:r>
          <w:r>
            <w:rPr>
              <w:rFonts w:hint="eastAsia" w:ascii="楷体" w:hAnsi="楷体" w:eastAsia="楷体" w:cs="楷体"/>
            </w:rPr>
            <w:fldChar w:fldCharType="end"/>
          </w:r>
          <w:r>
            <w:rPr>
              <w:rFonts w:hint="eastAsia" w:ascii="楷体" w:hAnsi="楷体" w:eastAsia="楷体" w:cs="楷体"/>
              <w:lang w:val="en-US" w:eastAsia="zh-CN"/>
            </w:rPr>
            <w:fldChar w:fldCharType="end"/>
          </w:r>
        </w:p>
        <w:p>
          <w:pPr>
            <w:pStyle w:val="11"/>
            <w:tabs>
              <w:tab w:val="right" w:leader="dot" w:pos="8845"/>
            </w:tabs>
          </w:pPr>
          <w:r>
            <w:rPr>
              <w:rFonts w:hint="eastAsia" w:ascii="楷体" w:hAnsi="楷体" w:eastAsia="楷体" w:cs="楷体"/>
              <w:lang w:val="en-US" w:eastAsia="zh-CN"/>
            </w:rPr>
            <w:fldChar w:fldCharType="begin"/>
          </w:r>
          <w:r>
            <w:rPr>
              <w:rFonts w:hint="eastAsia" w:ascii="楷体" w:hAnsi="楷体" w:eastAsia="楷体" w:cs="楷体"/>
              <w:lang w:val="en-US" w:eastAsia="zh-CN"/>
            </w:rPr>
            <w:instrText xml:space="preserve"> HYPERLINK \l _Toc21225 </w:instrText>
          </w:r>
          <w:r>
            <w:rPr>
              <w:rFonts w:hint="eastAsia" w:ascii="楷体" w:hAnsi="楷体" w:eastAsia="楷体" w:cs="楷体"/>
              <w:lang w:val="en-US" w:eastAsia="zh-CN"/>
            </w:rPr>
            <w:fldChar w:fldCharType="separate"/>
          </w:r>
          <w:r>
            <w:rPr>
              <w:rFonts w:hint="eastAsia" w:ascii="楷体" w:hAnsi="楷体" w:eastAsia="楷体" w:cs="楷体"/>
              <w:lang w:val="en-US" w:eastAsia="zh-CN"/>
            </w:rPr>
            <w:t>（四）规划期限</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_Toc21225 \h </w:instrText>
          </w:r>
          <w:r>
            <w:rPr>
              <w:rFonts w:hint="eastAsia" w:ascii="楷体" w:hAnsi="楷体" w:eastAsia="楷体" w:cs="楷体"/>
            </w:rPr>
            <w:fldChar w:fldCharType="separate"/>
          </w:r>
          <w:r>
            <w:rPr>
              <w:rFonts w:hint="eastAsia" w:ascii="楷体" w:hAnsi="楷体" w:eastAsia="楷体" w:cs="楷体"/>
            </w:rPr>
            <w:t>3</w:t>
          </w:r>
          <w:r>
            <w:rPr>
              <w:rFonts w:hint="eastAsia" w:ascii="楷体" w:hAnsi="楷体" w:eastAsia="楷体" w:cs="楷体"/>
            </w:rPr>
            <w:fldChar w:fldCharType="end"/>
          </w:r>
          <w:r>
            <w:rPr>
              <w:rFonts w:hint="eastAsia" w:ascii="楷体" w:hAnsi="楷体" w:eastAsia="楷体" w:cs="楷体"/>
              <w:lang w:val="en-US" w:eastAsia="zh-CN"/>
            </w:rPr>
            <w:fldChar w:fldCharType="end"/>
          </w:r>
        </w:p>
        <w:p>
          <w:pPr>
            <w:pStyle w:val="10"/>
            <w:tabs>
              <w:tab w:val="right" w:leader="dot" w:pos="8845"/>
            </w:tabs>
            <w:rPr>
              <w:rFonts w:hint="eastAsia" w:ascii="黑体" w:hAnsi="黑体" w:eastAsia="黑体" w:cs="黑体"/>
              <w:lang w:val="en-US" w:eastAsia="zh-CN"/>
            </w:rPr>
          </w:pPr>
          <w:r>
            <w:rPr>
              <w:rFonts w:hint="eastAsia" w:ascii="黑体" w:hAnsi="黑体" w:eastAsia="黑体" w:cs="黑体"/>
              <w:lang w:val="en-US" w:eastAsia="zh-CN"/>
            </w:rPr>
            <w:fldChar w:fldCharType="begin"/>
          </w:r>
          <w:r>
            <w:rPr>
              <w:rFonts w:hint="eastAsia" w:ascii="黑体" w:hAnsi="黑体" w:eastAsia="黑体" w:cs="黑体"/>
              <w:lang w:val="en-US" w:eastAsia="zh-CN"/>
            </w:rPr>
            <w:instrText xml:space="preserve"> HYPERLINK \l _Toc6218 </w:instrText>
          </w:r>
          <w:r>
            <w:rPr>
              <w:rFonts w:hint="eastAsia" w:ascii="黑体" w:hAnsi="黑体" w:eastAsia="黑体" w:cs="黑体"/>
              <w:lang w:val="en-US" w:eastAsia="zh-CN"/>
            </w:rPr>
            <w:fldChar w:fldCharType="separate"/>
          </w:r>
          <w:r>
            <w:rPr>
              <w:rFonts w:hint="eastAsia" w:ascii="黑体" w:hAnsi="黑体" w:eastAsia="黑体" w:cs="黑体"/>
              <w:lang w:val="en-US" w:eastAsia="zh-CN"/>
            </w:rPr>
            <w:t>二、 规划背景</w:t>
          </w:r>
          <w:r>
            <w:rPr>
              <w:rFonts w:hint="eastAsia" w:ascii="黑体" w:hAnsi="黑体" w:eastAsia="黑体" w:cs="黑体"/>
              <w:lang w:val="en-US" w:eastAsia="zh-CN"/>
            </w:rPr>
            <w:tab/>
          </w:r>
          <w:r>
            <w:rPr>
              <w:rFonts w:hint="eastAsia" w:ascii="黑体" w:hAnsi="黑体" w:eastAsia="黑体" w:cs="黑体"/>
              <w:lang w:val="en-US" w:eastAsia="zh-CN"/>
            </w:rPr>
            <w:fldChar w:fldCharType="begin"/>
          </w:r>
          <w:r>
            <w:rPr>
              <w:rFonts w:hint="eastAsia" w:ascii="黑体" w:hAnsi="黑体" w:eastAsia="黑体" w:cs="黑体"/>
              <w:lang w:val="en-US" w:eastAsia="zh-CN"/>
            </w:rPr>
            <w:instrText xml:space="preserve"> PAGEREF _Toc6218 \h </w:instrText>
          </w:r>
          <w:r>
            <w:rPr>
              <w:rFonts w:hint="eastAsia" w:ascii="黑体" w:hAnsi="黑体" w:eastAsia="黑体" w:cs="黑体"/>
              <w:lang w:val="en-US" w:eastAsia="zh-CN"/>
            </w:rPr>
            <w:fldChar w:fldCharType="separate"/>
          </w:r>
          <w:r>
            <w:rPr>
              <w:rFonts w:hint="eastAsia" w:ascii="黑体" w:hAnsi="黑体" w:eastAsia="黑体" w:cs="黑体"/>
              <w:lang w:val="en-US" w:eastAsia="zh-CN"/>
            </w:rPr>
            <w:t>4</w:t>
          </w:r>
          <w:r>
            <w:rPr>
              <w:rFonts w:hint="eastAsia" w:ascii="黑体" w:hAnsi="黑体" w:eastAsia="黑体" w:cs="黑体"/>
              <w:lang w:val="en-US" w:eastAsia="zh-CN"/>
            </w:rPr>
            <w:fldChar w:fldCharType="end"/>
          </w:r>
          <w:r>
            <w:rPr>
              <w:rFonts w:hint="eastAsia" w:ascii="黑体" w:hAnsi="黑体" w:eastAsia="黑体" w:cs="黑体"/>
              <w:lang w:val="en-US" w:eastAsia="zh-CN"/>
            </w:rPr>
            <w:fldChar w:fldCharType="end"/>
          </w:r>
        </w:p>
        <w:p>
          <w:pPr>
            <w:pStyle w:val="11"/>
            <w:tabs>
              <w:tab w:val="right" w:leader="dot" w:pos="8845"/>
            </w:tabs>
            <w:rPr>
              <w:rFonts w:hint="eastAsia" w:ascii="楷体" w:hAnsi="楷体" w:eastAsia="楷体" w:cs="楷体"/>
              <w:lang w:val="en-US" w:eastAsia="zh-CN"/>
            </w:rPr>
          </w:pPr>
          <w:r>
            <w:rPr>
              <w:rFonts w:hint="eastAsia" w:ascii="楷体" w:hAnsi="楷体" w:eastAsia="楷体" w:cs="楷体"/>
              <w:lang w:val="en-US" w:eastAsia="zh-CN"/>
            </w:rPr>
            <w:fldChar w:fldCharType="begin"/>
          </w:r>
          <w:r>
            <w:rPr>
              <w:rFonts w:hint="eastAsia" w:ascii="楷体" w:hAnsi="楷体" w:eastAsia="楷体" w:cs="楷体"/>
              <w:lang w:val="en-US" w:eastAsia="zh-CN"/>
            </w:rPr>
            <w:instrText xml:space="preserve"> HYPERLINK \l _Toc29065 </w:instrText>
          </w:r>
          <w:r>
            <w:rPr>
              <w:rFonts w:hint="eastAsia" w:ascii="楷体" w:hAnsi="楷体" w:eastAsia="楷体" w:cs="楷体"/>
              <w:lang w:val="en-US" w:eastAsia="zh-CN"/>
            </w:rPr>
            <w:fldChar w:fldCharType="separate"/>
          </w:r>
          <w:r>
            <w:rPr>
              <w:rFonts w:hint="eastAsia" w:ascii="楷体" w:hAnsi="楷体" w:eastAsia="楷体" w:cs="楷体"/>
              <w:lang w:val="en-US" w:eastAsia="zh-CN"/>
            </w:rPr>
            <w:t>（一）片区现状</w:t>
          </w:r>
          <w:r>
            <w:rPr>
              <w:rFonts w:hint="eastAsia" w:ascii="楷体" w:hAnsi="楷体" w:eastAsia="楷体" w:cs="楷体"/>
              <w:lang w:val="en-US" w:eastAsia="zh-CN"/>
            </w:rPr>
            <w:tab/>
          </w:r>
          <w:r>
            <w:rPr>
              <w:rFonts w:hint="eastAsia" w:ascii="楷体" w:hAnsi="楷体" w:eastAsia="楷体" w:cs="楷体"/>
              <w:lang w:val="en-US" w:eastAsia="zh-CN"/>
            </w:rPr>
            <w:fldChar w:fldCharType="begin"/>
          </w:r>
          <w:r>
            <w:rPr>
              <w:rFonts w:hint="eastAsia" w:ascii="楷体" w:hAnsi="楷体" w:eastAsia="楷体" w:cs="楷体"/>
              <w:lang w:val="en-US" w:eastAsia="zh-CN"/>
            </w:rPr>
            <w:instrText xml:space="preserve"> PAGEREF _Toc29065 \h </w:instrText>
          </w:r>
          <w:r>
            <w:rPr>
              <w:rFonts w:hint="eastAsia" w:ascii="楷体" w:hAnsi="楷体" w:eastAsia="楷体" w:cs="楷体"/>
              <w:lang w:val="en-US" w:eastAsia="zh-CN"/>
            </w:rPr>
            <w:fldChar w:fldCharType="separate"/>
          </w:r>
          <w:r>
            <w:rPr>
              <w:rFonts w:hint="eastAsia" w:ascii="楷体" w:hAnsi="楷体" w:eastAsia="楷体" w:cs="楷体"/>
              <w:lang w:val="en-US" w:eastAsia="zh-CN"/>
            </w:rPr>
            <w:t>4</w:t>
          </w:r>
          <w:r>
            <w:rPr>
              <w:rFonts w:hint="eastAsia" w:ascii="楷体" w:hAnsi="楷体" w:eastAsia="楷体" w:cs="楷体"/>
              <w:lang w:val="en-US" w:eastAsia="zh-CN"/>
            </w:rPr>
            <w:fldChar w:fldCharType="end"/>
          </w:r>
          <w:r>
            <w:rPr>
              <w:rFonts w:hint="eastAsia" w:ascii="楷体" w:hAnsi="楷体" w:eastAsia="楷体" w:cs="楷体"/>
              <w:lang w:val="en-US" w:eastAsia="zh-CN"/>
            </w:rPr>
            <w:fldChar w:fldCharType="end"/>
          </w:r>
        </w:p>
        <w:p>
          <w:pPr>
            <w:pStyle w:val="11"/>
            <w:tabs>
              <w:tab w:val="right" w:leader="dot" w:pos="8845"/>
            </w:tabs>
          </w:pPr>
          <w:r>
            <w:rPr>
              <w:rFonts w:hint="eastAsia" w:ascii="楷体" w:hAnsi="楷体" w:eastAsia="楷体" w:cs="楷体"/>
              <w:lang w:val="en-US" w:eastAsia="zh-CN"/>
            </w:rPr>
            <w:fldChar w:fldCharType="begin"/>
          </w:r>
          <w:r>
            <w:rPr>
              <w:rFonts w:hint="eastAsia" w:ascii="楷体" w:hAnsi="楷体" w:eastAsia="楷体" w:cs="楷体"/>
              <w:lang w:val="en-US" w:eastAsia="zh-CN"/>
            </w:rPr>
            <w:instrText xml:space="preserve"> HYPERLINK \l _Toc23064 </w:instrText>
          </w:r>
          <w:r>
            <w:rPr>
              <w:rFonts w:hint="eastAsia" w:ascii="楷体" w:hAnsi="楷体" w:eastAsia="楷体" w:cs="楷体"/>
              <w:lang w:val="en-US" w:eastAsia="zh-CN"/>
            </w:rPr>
            <w:fldChar w:fldCharType="separate"/>
          </w:r>
          <w:r>
            <w:rPr>
              <w:rFonts w:hint="eastAsia" w:ascii="楷体" w:hAnsi="楷体" w:eastAsia="楷体" w:cs="楷体"/>
              <w:lang w:val="en-US" w:eastAsia="zh-CN"/>
            </w:rPr>
            <w:t>（二）面临形势</w:t>
          </w:r>
          <w:r>
            <w:rPr>
              <w:rFonts w:hint="eastAsia" w:ascii="楷体" w:hAnsi="楷体" w:eastAsia="楷体" w:cs="楷体"/>
              <w:lang w:val="en-US" w:eastAsia="zh-CN"/>
            </w:rPr>
            <w:tab/>
          </w:r>
          <w:r>
            <w:rPr>
              <w:rFonts w:hint="eastAsia" w:ascii="楷体" w:hAnsi="楷体" w:eastAsia="楷体" w:cs="楷体"/>
              <w:lang w:val="en-US" w:eastAsia="zh-CN"/>
            </w:rPr>
            <w:fldChar w:fldCharType="begin"/>
          </w:r>
          <w:r>
            <w:rPr>
              <w:rFonts w:hint="eastAsia" w:ascii="楷体" w:hAnsi="楷体" w:eastAsia="楷体" w:cs="楷体"/>
              <w:lang w:val="en-US" w:eastAsia="zh-CN"/>
            </w:rPr>
            <w:instrText xml:space="preserve"> PAGEREF _Toc23064 \h </w:instrText>
          </w:r>
          <w:r>
            <w:rPr>
              <w:rFonts w:hint="eastAsia" w:ascii="楷体" w:hAnsi="楷体" w:eastAsia="楷体" w:cs="楷体"/>
              <w:lang w:val="en-US" w:eastAsia="zh-CN"/>
            </w:rPr>
            <w:fldChar w:fldCharType="separate"/>
          </w:r>
          <w:r>
            <w:rPr>
              <w:rFonts w:hint="eastAsia" w:ascii="楷体" w:hAnsi="楷体" w:eastAsia="楷体" w:cs="楷体"/>
              <w:lang w:val="en-US" w:eastAsia="zh-CN"/>
            </w:rPr>
            <w:t>7</w:t>
          </w:r>
          <w:r>
            <w:rPr>
              <w:rFonts w:hint="eastAsia" w:ascii="楷体" w:hAnsi="楷体" w:eastAsia="楷体" w:cs="楷体"/>
              <w:lang w:val="en-US" w:eastAsia="zh-CN"/>
            </w:rPr>
            <w:fldChar w:fldCharType="end"/>
          </w:r>
          <w:r>
            <w:rPr>
              <w:rFonts w:hint="eastAsia" w:ascii="楷体" w:hAnsi="楷体" w:eastAsia="楷体" w:cs="楷体"/>
              <w:lang w:val="en-US" w:eastAsia="zh-CN"/>
            </w:rPr>
            <w:fldChar w:fldCharType="end"/>
          </w:r>
        </w:p>
        <w:p>
          <w:pPr>
            <w:pStyle w:val="10"/>
            <w:tabs>
              <w:tab w:val="right" w:leader="dot" w:pos="8845"/>
            </w:tabs>
            <w:rPr>
              <w:rFonts w:hint="eastAsia" w:ascii="黑体" w:hAnsi="黑体" w:eastAsia="黑体" w:cs="黑体"/>
              <w:lang w:val="en-US" w:eastAsia="zh-CN"/>
            </w:rPr>
          </w:pPr>
          <w:r>
            <w:rPr>
              <w:rFonts w:hint="eastAsia" w:ascii="黑体" w:hAnsi="黑体" w:eastAsia="黑体" w:cs="黑体"/>
              <w:lang w:val="en-US" w:eastAsia="zh-CN"/>
            </w:rPr>
            <w:fldChar w:fldCharType="begin"/>
          </w:r>
          <w:r>
            <w:rPr>
              <w:rFonts w:hint="eastAsia" w:ascii="黑体" w:hAnsi="黑体" w:eastAsia="黑体" w:cs="黑体"/>
              <w:lang w:val="en-US" w:eastAsia="zh-CN"/>
            </w:rPr>
            <w:instrText xml:space="preserve"> HYPERLINK \l _Toc12855 </w:instrText>
          </w:r>
          <w:r>
            <w:rPr>
              <w:rFonts w:hint="eastAsia" w:ascii="黑体" w:hAnsi="黑体" w:eastAsia="黑体" w:cs="黑体"/>
              <w:lang w:val="en-US" w:eastAsia="zh-CN"/>
            </w:rPr>
            <w:fldChar w:fldCharType="separate"/>
          </w:r>
          <w:r>
            <w:rPr>
              <w:rFonts w:hint="eastAsia" w:ascii="黑体" w:hAnsi="黑体" w:eastAsia="黑体" w:cs="黑体"/>
              <w:lang w:val="en-US" w:eastAsia="zh-CN"/>
            </w:rPr>
            <w:t>三、 规划目标</w:t>
          </w:r>
          <w:r>
            <w:rPr>
              <w:rFonts w:hint="eastAsia" w:ascii="黑体" w:hAnsi="黑体" w:eastAsia="黑体" w:cs="黑体"/>
              <w:lang w:val="en-US" w:eastAsia="zh-CN"/>
            </w:rPr>
            <w:tab/>
          </w:r>
          <w:r>
            <w:rPr>
              <w:rFonts w:hint="eastAsia" w:ascii="黑体" w:hAnsi="黑体" w:eastAsia="黑体" w:cs="黑体"/>
              <w:lang w:val="en-US" w:eastAsia="zh-CN"/>
            </w:rPr>
            <w:fldChar w:fldCharType="begin"/>
          </w:r>
          <w:r>
            <w:rPr>
              <w:rFonts w:hint="eastAsia" w:ascii="黑体" w:hAnsi="黑体" w:eastAsia="黑体" w:cs="黑体"/>
              <w:lang w:val="en-US" w:eastAsia="zh-CN"/>
            </w:rPr>
            <w:instrText xml:space="preserve"> PAGEREF _Toc12855 \h </w:instrText>
          </w:r>
          <w:r>
            <w:rPr>
              <w:rFonts w:hint="eastAsia" w:ascii="黑体" w:hAnsi="黑体" w:eastAsia="黑体" w:cs="黑体"/>
              <w:lang w:val="en-US" w:eastAsia="zh-CN"/>
            </w:rPr>
            <w:fldChar w:fldCharType="separate"/>
          </w:r>
          <w:r>
            <w:rPr>
              <w:rFonts w:hint="eastAsia" w:ascii="黑体" w:hAnsi="黑体" w:eastAsia="黑体" w:cs="黑体"/>
              <w:lang w:val="en-US" w:eastAsia="zh-CN"/>
            </w:rPr>
            <w:t>10</w:t>
          </w:r>
          <w:r>
            <w:rPr>
              <w:rFonts w:hint="eastAsia" w:ascii="黑体" w:hAnsi="黑体" w:eastAsia="黑体" w:cs="黑体"/>
              <w:lang w:val="en-US" w:eastAsia="zh-CN"/>
            </w:rPr>
            <w:fldChar w:fldCharType="end"/>
          </w:r>
          <w:r>
            <w:rPr>
              <w:rFonts w:hint="eastAsia" w:ascii="黑体" w:hAnsi="黑体" w:eastAsia="黑体" w:cs="黑体"/>
              <w:lang w:val="en-US" w:eastAsia="zh-CN"/>
            </w:rPr>
            <w:fldChar w:fldCharType="end"/>
          </w:r>
        </w:p>
        <w:p>
          <w:pPr>
            <w:pStyle w:val="11"/>
            <w:tabs>
              <w:tab w:val="right" w:leader="dot" w:pos="8845"/>
            </w:tabs>
            <w:rPr>
              <w:rFonts w:hint="eastAsia" w:ascii="楷体" w:hAnsi="楷体" w:eastAsia="楷体" w:cs="楷体"/>
              <w:lang w:val="en-US" w:eastAsia="zh-CN"/>
            </w:rPr>
          </w:pPr>
          <w:r>
            <w:rPr>
              <w:rFonts w:hint="eastAsia" w:ascii="楷体" w:hAnsi="楷体" w:eastAsia="楷体" w:cs="楷体"/>
              <w:lang w:val="en-US" w:eastAsia="zh-CN"/>
            </w:rPr>
            <w:fldChar w:fldCharType="begin"/>
          </w:r>
          <w:r>
            <w:rPr>
              <w:rFonts w:hint="eastAsia" w:ascii="楷体" w:hAnsi="楷体" w:eastAsia="楷体" w:cs="楷体"/>
              <w:lang w:val="en-US" w:eastAsia="zh-CN"/>
            </w:rPr>
            <w:instrText xml:space="preserve"> HYPERLINK \l _Toc26726 </w:instrText>
          </w:r>
          <w:r>
            <w:rPr>
              <w:rFonts w:hint="eastAsia" w:ascii="楷体" w:hAnsi="楷体" w:eastAsia="楷体" w:cs="楷体"/>
              <w:lang w:val="en-US" w:eastAsia="zh-CN"/>
            </w:rPr>
            <w:fldChar w:fldCharType="separate"/>
          </w:r>
          <w:r>
            <w:rPr>
              <w:rFonts w:hint="eastAsia" w:ascii="楷体" w:hAnsi="楷体" w:eastAsia="楷体" w:cs="楷体"/>
              <w:lang w:val="en-US" w:eastAsia="zh-CN"/>
            </w:rPr>
            <w:t>（一） 近期目标</w:t>
          </w:r>
          <w:r>
            <w:rPr>
              <w:rFonts w:hint="eastAsia" w:ascii="楷体" w:hAnsi="楷体" w:eastAsia="楷体" w:cs="楷体"/>
              <w:lang w:val="en-US" w:eastAsia="zh-CN"/>
            </w:rPr>
            <w:tab/>
          </w:r>
          <w:r>
            <w:rPr>
              <w:rFonts w:hint="eastAsia" w:ascii="楷体" w:hAnsi="楷体" w:eastAsia="楷体" w:cs="楷体"/>
              <w:lang w:val="en-US" w:eastAsia="zh-CN"/>
            </w:rPr>
            <w:fldChar w:fldCharType="begin"/>
          </w:r>
          <w:r>
            <w:rPr>
              <w:rFonts w:hint="eastAsia" w:ascii="楷体" w:hAnsi="楷体" w:eastAsia="楷体" w:cs="楷体"/>
              <w:lang w:val="en-US" w:eastAsia="zh-CN"/>
            </w:rPr>
            <w:instrText xml:space="preserve"> PAGEREF _Toc26726 \h </w:instrText>
          </w:r>
          <w:r>
            <w:rPr>
              <w:rFonts w:hint="eastAsia" w:ascii="楷体" w:hAnsi="楷体" w:eastAsia="楷体" w:cs="楷体"/>
              <w:lang w:val="en-US" w:eastAsia="zh-CN"/>
            </w:rPr>
            <w:fldChar w:fldCharType="separate"/>
          </w:r>
          <w:r>
            <w:rPr>
              <w:rFonts w:hint="eastAsia" w:ascii="楷体" w:hAnsi="楷体" w:eastAsia="楷体" w:cs="楷体"/>
              <w:lang w:val="en-US" w:eastAsia="zh-CN"/>
            </w:rPr>
            <w:t>10</w:t>
          </w:r>
          <w:r>
            <w:rPr>
              <w:rFonts w:hint="eastAsia" w:ascii="楷体" w:hAnsi="楷体" w:eastAsia="楷体" w:cs="楷体"/>
              <w:lang w:val="en-US" w:eastAsia="zh-CN"/>
            </w:rPr>
            <w:fldChar w:fldCharType="end"/>
          </w:r>
          <w:r>
            <w:rPr>
              <w:rFonts w:hint="eastAsia" w:ascii="楷体" w:hAnsi="楷体" w:eastAsia="楷体" w:cs="楷体"/>
              <w:lang w:val="en-US" w:eastAsia="zh-CN"/>
            </w:rPr>
            <w:fldChar w:fldCharType="end"/>
          </w:r>
        </w:p>
        <w:p>
          <w:pPr>
            <w:pStyle w:val="11"/>
            <w:tabs>
              <w:tab w:val="right" w:leader="dot" w:pos="8845"/>
            </w:tabs>
          </w:pPr>
          <w:r>
            <w:rPr>
              <w:rFonts w:hint="eastAsia" w:ascii="楷体" w:hAnsi="楷体" w:eastAsia="楷体" w:cs="楷体"/>
              <w:lang w:val="en-US" w:eastAsia="zh-CN"/>
            </w:rPr>
            <w:fldChar w:fldCharType="begin"/>
          </w:r>
          <w:r>
            <w:rPr>
              <w:rFonts w:hint="eastAsia" w:ascii="楷体" w:hAnsi="楷体" w:eastAsia="楷体" w:cs="楷体"/>
              <w:lang w:val="en-US" w:eastAsia="zh-CN"/>
            </w:rPr>
            <w:instrText xml:space="preserve"> HYPERLINK \l _Toc28262 </w:instrText>
          </w:r>
          <w:r>
            <w:rPr>
              <w:rFonts w:hint="eastAsia" w:ascii="楷体" w:hAnsi="楷体" w:eastAsia="楷体" w:cs="楷体"/>
              <w:lang w:val="en-US" w:eastAsia="zh-CN"/>
            </w:rPr>
            <w:fldChar w:fldCharType="separate"/>
          </w:r>
          <w:r>
            <w:rPr>
              <w:rFonts w:hint="eastAsia" w:ascii="楷体" w:hAnsi="楷体" w:eastAsia="楷体" w:cs="楷体"/>
              <w:lang w:val="en-US" w:eastAsia="zh-CN"/>
            </w:rPr>
            <w:t>（二）远景目标</w:t>
          </w:r>
          <w:r>
            <w:rPr>
              <w:rFonts w:hint="eastAsia" w:ascii="楷体" w:hAnsi="楷体" w:eastAsia="楷体" w:cs="楷体"/>
              <w:lang w:val="en-US" w:eastAsia="zh-CN"/>
            </w:rPr>
            <w:tab/>
          </w:r>
          <w:r>
            <w:rPr>
              <w:rFonts w:hint="eastAsia" w:ascii="楷体" w:hAnsi="楷体" w:eastAsia="楷体" w:cs="楷体"/>
              <w:lang w:val="en-US" w:eastAsia="zh-CN"/>
            </w:rPr>
            <w:fldChar w:fldCharType="begin"/>
          </w:r>
          <w:r>
            <w:rPr>
              <w:rFonts w:hint="eastAsia" w:ascii="楷体" w:hAnsi="楷体" w:eastAsia="楷体" w:cs="楷体"/>
              <w:lang w:val="en-US" w:eastAsia="zh-CN"/>
            </w:rPr>
            <w:instrText xml:space="preserve"> PAGEREF _Toc28262 \h </w:instrText>
          </w:r>
          <w:r>
            <w:rPr>
              <w:rFonts w:hint="eastAsia" w:ascii="楷体" w:hAnsi="楷体" w:eastAsia="楷体" w:cs="楷体"/>
              <w:lang w:val="en-US" w:eastAsia="zh-CN"/>
            </w:rPr>
            <w:fldChar w:fldCharType="separate"/>
          </w:r>
          <w:r>
            <w:rPr>
              <w:rFonts w:hint="eastAsia" w:ascii="楷体" w:hAnsi="楷体" w:eastAsia="楷体" w:cs="楷体"/>
              <w:lang w:val="en-US" w:eastAsia="zh-CN"/>
            </w:rPr>
            <w:t>12</w:t>
          </w:r>
          <w:r>
            <w:rPr>
              <w:rFonts w:hint="eastAsia" w:ascii="楷体" w:hAnsi="楷体" w:eastAsia="楷体" w:cs="楷体"/>
              <w:lang w:val="en-US" w:eastAsia="zh-CN"/>
            </w:rPr>
            <w:fldChar w:fldCharType="end"/>
          </w:r>
          <w:r>
            <w:rPr>
              <w:rFonts w:hint="eastAsia" w:ascii="楷体" w:hAnsi="楷体" w:eastAsia="楷体" w:cs="楷体"/>
              <w:lang w:val="en-US" w:eastAsia="zh-CN"/>
            </w:rPr>
            <w:fldChar w:fldCharType="end"/>
          </w:r>
        </w:p>
        <w:p>
          <w:pPr>
            <w:pStyle w:val="10"/>
            <w:tabs>
              <w:tab w:val="right" w:leader="dot" w:pos="8845"/>
            </w:tabs>
            <w:rPr>
              <w:rFonts w:hint="eastAsia" w:ascii="黑体" w:hAnsi="黑体" w:eastAsia="黑体" w:cs="黑体"/>
              <w:lang w:val="en-US" w:eastAsia="zh-CN"/>
            </w:rPr>
          </w:pPr>
          <w:r>
            <w:rPr>
              <w:rFonts w:hint="eastAsia" w:ascii="黑体" w:hAnsi="黑体" w:eastAsia="黑体" w:cs="黑体"/>
              <w:lang w:val="en-US" w:eastAsia="zh-CN"/>
            </w:rPr>
            <w:fldChar w:fldCharType="begin"/>
          </w:r>
          <w:r>
            <w:rPr>
              <w:rFonts w:hint="eastAsia" w:ascii="黑体" w:hAnsi="黑体" w:eastAsia="黑体" w:cs="黑体"/>
              <w:lang w:val="en-US" w:eastAsia="zh-CN"/>
            </w:rPr>
            <w:instrText xml:space="preserve"> HYPERLINK \l _Toc30251 </w:instrText>
          </w:r>
          <w:r>
            <w:rPr>
              <w:rFonts w:hint="eastAsia" w:ascii="黑体" w:hAnsi="黑体" w:eastAsia="黑体" w:cs="黑体"/>
              <w:lang w:val="en-US" w:eastAsia="zh-CN"/>
            </w:rPr>
            <w:fldChar w:fldCharType="separate"/>
          </w:r>
          <w:r>
            <w:rPr>
              <w:rFonts w:hint="eastAsia" w:ascii="黑体" w:hAnsi="黑体" w:eastAsia="黑体" w:cs="黑体"/>
              <w:lang w:val="en-US" w:eastAsia="zh-CN"/>
            </w:rPr>
            <w:t>四、 主要任务和重点工程</w:t>
          </w:r>
          <w:r>
            <w:rPr>
              <w:rFonts w:hint="eastAsia" w:ascii="黑体" w:hAnsi="黑体" w:eastAsia="黑体" w:cs="黑体"/>
              <w:lang w:val="en-US" w:eastAsia="zh-CN"/>
            </w:rPr>
            <w:tab/>
          </w:r>
          <w:r>
            <w:rPr>
              <w:rFonts w:hint="eastAsia" w:ascii="黑体" w:hAnsi="黑体" w:eastAsia="黑体" w:cs="黑体"/>
              <w:lang w:val="en-US" w:eastAsia="zh-CN"/>
            </w:rPr>
            <w:fldChar w:fldCharType="begin"/>
          </w:r>
          <w:r>
            <w:rPr>
              <w:rFonts w:hint="eastAsia" w:ascii="黑体" w:hAnsi="黑体" w:eastAsia="黑体" w:cs="黑体"/>
              <w:lang w:val="en-US" w:eastAsia="zh-CN"/>
            </w:rPr>
            <w:instrText xml:space="preserve"> PAGEREF _Toc30251 \h </w:instrText>
          </w:r>
          <w:r>
            <w:rPr>
              <w:rFonts w:hint="eastAsia" w:ascii="黑体" w:hAnsi="黑体" w:eastAsia="黑体" w:cs="黑体"/>
              <w:lang w:val="en-US" w:eastAsia="zh-CN"/>
            </w:rPr>
            <w:fldChar w:fldCharType="separate"/>
          </w:r>
          <w:r>
            <w:rPr>
              <w:rFonts w:hint="eastAsia" w:ascii="黑体" w:hAnsi="黑体" w:eastAsia="黑体" w:cs="黑体"/>
              <w:lang w:val="en-US" w:eastAsia="zh-CN"/>
            </w:rPr>
            <w:t>13</w:t>
          </w:r>
          <w:r>
            <w:rPr>
              <w:rFonts w:hint="eastAsia" w:ascii="黑体" w:hAnsi="黑体" w:eastAsia="黑体" w:cs="黑体"/>
              <w:lang w:val="en-US" w:eastAsia="zh-CN"/>
            </w:rPr>
            <w:fldChar w:fldCharType="end"/>
          </w:r>
          <w:r>
            <w:rPr>
              <w:rFonts w:hint="eastAsia" w:ascii="黑体" w:hAnsi="黑体" w:eastAsia="黑体" w:cs="黑体"/>
              <w:lang w:val="en-US" w:eastAsia="zh-CN"/>
            </w:rPr>
            <w:fldChar w:fldCharType="end"/>
          </w:r>
        </w:p>
        <w:p>
          <w:pPr>
            <w:pStyle w:val="11"/>
            <w:tabs>
              <w:tab w:val="right" w:leader="dot" w:pos="8845"/>
            </w:tabs>
            <w:rPr>
              <w:rFonts w:hint="eastAsia" w:ascii="楷体" w:hAnsi="楷体" w:eastAsia="楷体" w:cs="楷体"/>
              <w:lang w:val="en-US" w:eastAsia="zh-CN"/>
            </w:rPr>
          </w:pPr>
          <w:r>
            <w:rPr>
              <w:rFonts w:hint="eastAsia" w:ascii="楷体" w:hAnsi="楷体" w:eastAsia="楷体" w:cs="楷体"/>
              <w:lang w:val="en-US" w:eastAsia="zh-CN"/>
            </w:rPr>
            <w:fldChar w:fldCharType="begin"/>
          </w:r>
          <w:r>
            <w:rPr>
              <w:rFonts w:hint="eastAsia" w:ascii="楷体" w:hAnsi="楷体" w:eastAsia="楷体" w:cs="楷体"/>
              <w:lang w:val="en-US" w:eastAsia="zh-CN"/>
            </w:rPr>
            <w:instrText xml:space="preserve"> HYPERLINK \l _Toc5949 </w:instrText>
          </w:r>
          <w:r>
            <w:rPr>
              <w:rFonts w:hint="eastAsia" w:ascii="楷体" w:hAnsi="楷体" w:eastAsia="楷体" w:cs="楷体"/>
              <w:lang w:val="en-US" w:eastAsia="zh-CN"/>
            </w:rPr>
            <w:fldChar w:fldCharType="separate"/>
          </w:r>
          <w:r>
            <w:rPr>
              <w:rFonts w:hint="eastAsia" w:ascii="楷体" w:hAnsi="楷体" w:eastAsia="楷体" w:cs="楷体"/>
              <w:lang w:val="en-US" w:eastAsia="zh-CN"/>
            </w:rPr>
            <w:t>（一）应急管理机制方面</w:t>
          </w:r>
          <w:r>
            <w:rPr>
              <w:rFonts w:hint="eastAsia" w:ascii="楷体" w:hAnsi="楷体" w:eastAsia="楷体" w:cs="楷体"/>
              <w:lang w:val="en-US" w:eastAsia="zh-CN"/>
            </w:rPr>
            <w:tab/>
          </w:r>
          <w:r>
            <w:rPr>
              <w:rFonts w:hint="eastAsia" w:ascii="楷体" w:hAnsi="楷体" w:eastAsia="楷体" w:cs="楷体"/>
              <w:lang w:val="en-US" w:eastAsia="zh-CN"/>
            </w:rPr>
            <w:fldChar w:fldCharType="begin"/>
          </w:r>
          <w:r>
            <w:rPr>
              <w:rFonts w:hint="eastAsia" w:ascii="楷体" w:hAnsi="楷体" w:eastAsia="楷体" w:cs="楷体"/>
              <w:lang w:val="en-US" w:eastAsia="zh-CN"/>
            </w:rPr>
            <w:instrText xml:space="preserve"> PAGEREF _Toc5949 \h </w:instrText>
          </w:r>
          <w:r>
            <w:rPr>
              <w:rFonts w:hint="eastAsia" w:ascii="楷体" w:hAnsi="楷体" w:eastAsia="楷体" w:cs="楷体"/>
              <w:lang w:val="en-US" w:eastAsia="zh-CN"/>
            </w:rPr>
            <w:fldChar w:fldCharType="separate"/>
          </w:r>
          <w:r>
            <w:rPr>
              <w:rFonts w:hint="eastAsia" w:ascii="楷体" w:hAnsi="楷体" w:eastAsia="楷体" w:cs="楷体"/>
              <w:lang w:val="en-US" w:eastAsia="zh-CN"/>
            </w:rPr>
            <w:t>13</w:t>
          </w:r>
          <w:r>
            <w:rPr>
              <w:rFonts w:hint="eastAsia" w:ascii="楷体" w:hAnsi="楷体" w:eastAsia="楷体" w:cs="楷体"/>
              <w:lang w:val="en-US" w:eastAsia="zh-CN"/>
            </w:rPr>
            <w:fldChar w:fldCharType="end"/>
          </w:r>
          <w:r>
            <w:rPr>
              <w:rFonts w:hint="eastAsia" w:ascii="楷体" w:hAnsi="楷体" w:eastAsia="楷体" w:cs="楷体"/>
              <w:lang w:val="en-US" w:eastAsia="zh-CN"/>
            </w:rPr>
            <w:fldChar w:fldCharType="end"/>
          </w:r>
        </w:p>
        <w:p>
          <w:pPr>
            <w:pStyle w:val="11"/>
            <w:tabs>
              <w:tab w:val="right" w:leader="dot" w:pos="8845"/>
            </w:tabs>
            <w:rPr>
              <w:rFonts w:hint="eastAsia" w:ascii="楷体" w:hAnsi="楷体" w:eastAsia="楷体" w:cs="楷体"/>
              <w:lang w:val="en-US" w:eastAsia="zh-CN"/>
            </w:rPr>
          </w:pPr>
          <w:r>
            <w:rPr>
              <w:rFonts w:hint="eastAsia" w:ascii="楷体" w:hAnsi="楷体" w:eastAsia="楷体" w:cs="楷体"/>
              <w:lang w:val="en-US" w:eastAsia="zh-CN"/>
            </w:rPr>
            <w:fldChar w:fldCharType="begin"/>
          </w:r>
          <w:r>
            <w:rPr>
              <w:rFonts w:hint="eastAsia" w:ascii="楷体" w:hAnsi="楷体" w:eastAsia="楷体" w:cs="楷体"/>
              <w:lang w:val="en-US" w:eastAsia="zh-CN"/>
            </w:rPr>
            <w:instrText xml:space="preserve"> HYPERLINK \l _Toc14809 </w:instrText>
          </w:r>
          <w:r>
            <w:rPr>
              <w:rFonts w:hint="eastAsia" w:ascii="楷体" w:hAnsi="楷体" w:eastAsia="楷体" w:cs="楷体"/>
              <w:lang w:val="en-US" w:eastAsia="zh-CN"/>
            </w:rPr>
            <w:fldChar w:fldCharType="separate"/>
          </w:r>
          <w:r>
            <w:rPr>
              <w:rFonts w:hint="eastAsia" w:ascii="楷体" w:hAnsi="楷体" w:eastAsia="楷体" w:cs="楷体"/>
              <w:lang w:val="en-US" w:eastAsia="zh-CN"/>
            </w:rPr>
            <w:t>（二）安全生产风险防控方面</w:t>
          </w:r>
          <w:r>
            <w:rPr>
              <w:rFonts w:hint="eastAsia" w:ascii="楷体" w:hAnsi="楷体" w:eastAsia="楷体" w:cs="楷体"/>
              <w:lang w:val="en-US" w:eastAsia="zh-CN"/>
            </w:rPr>
            <w:tab/>
          </w:r>
          <w:r>
            <w:rPr>
              <w:rFonts w:hint="eastAsia" w:ascii="楷体" w:hAnsi="楷体" w:eastAsia="楷体" w:cs="楷体"/>
              <w:lang w:val="en-US" w:eastAsia="zh-CN"/>
            </w:rPr>
            <w:fldChar w:fldCharType="begin"/>
          </w:r>
          <w:r>
            <w:rPr>
              <w:rFonts w:hint="eastAsia" w:ascii="楷体" w:hAnsi="楷体" w:eastAsia="楷体" w:cs="楷体"/>
              <w:lang w:val="en-US" w:eastAsia="zh-CN"/>
            </w:rPr>
            <w:instrText xml:space="preserve"> PAGEREF _Toc14809 \h </w:instrText>
          </w:r>
          <w:r>
            <w:rPr>
              <w:rFonts w:hint="eastAsia" w:ascii="楷体" w:hAnsi="楷体" w:eastAsia="楷体" w:cs="楷体"/>
              <w:lang w:val="en-US" w:eastAsia="zh-CN"/>
            </w:rPr>
            <w:fldChar w:fldCharType="separate"/>
          </w:r>
          <w:r>
            <w:rPr>
              <w:rFonts w:hint="eastAsia" w:ascii="楷体" w:hAnsi="楷体" w:eastAsia="楷体" w:cs="楷体"/>
              <w:lang w:val="en-US" w:eastAsia="zh-CN"/>
            </w:rPr>
            <w:t>15</w:t>
          </w:r>
          <w:r>
            <w:rPr>
              <w:rFonts w:hint="eastAsia" w:ascii="楷体" w:hAnsi="楷体" w:eastAsia="楷体" w:cs="楷体"/>
              <w:lang w:val="en-US" w:eastAsia="zh-CN"/>
            </w:rPr>
            <w:fldChar w:fldCharType="end"/>
          </w:r>
          <w:r>
            <w:rPr>
              <w:rFonts w:hint="eastAsia" w:ascii="楷体" w:hAnsi="楷体" w:eastAsia="楷体" w:cs="楷体"/>
              <w:lang w:val="en-US" w:eastAsia="zh-CN"/>
            </w:rPr>
            <w:fldChar w:fldCharType="end"/>
          </w:r>
        </w:p>
        <w:p>
          <w:pPr>
            <w:pStyle w:val="11"/>
            <w:tabs>
              <w:tab w:val="right" w:leader="dot" w:pos="8845"/>
            </w:tabs>
            <w:rPr>
              <w:rFonts w:hint="eastAsia" w:ascii="楷体" w:hAnsi="楷体" w:eastAsia="楷体" w:cs="楷体"/>
              <w:lang w:val="en-US" w:eastAsia="zh-CN"/>
            </w:rPr>
          </w:pPr>
          <w:r>
            <w:rPr>
              <w:rFonts w:hint="eastAsia" w:ascii="楷体" w:hAnsi="楷体" w:eastAsia="楷体" w:cs="楷体"/>
              <w:lang w:val="en-US" w:eastAsia="zh-CN"/>
            </w:rPr>
            <w:fldChar w:fldCharType="begin"/>
          </w:r>
          <w:r>
            <w:rPr>
              <w:rFonts w:hint="eastAsia" w:ascii="楷体" w:hAnsi="楷体" w:eastAsia="楷体" w:cs="楷体"/>
              <w:lang w:val="en-US" w:eastAsia="zh-CN"/>
            </w:rPr>
            <w:instrText xml:space="preserve"> HYPERLINK \l _Toc29628 </w:instrText>
          </w:r>
          <w:r>
            <w:rPr>
              <w:rFonts w:hint="eastAsia" w:ascii="楷体" w:hAnsi="楷体" w:eastAsia="楷体" w:cs="楷体"/>
              <w:lang w:val="en-US" w:eastAsia="zh-CN"/>
            </w:rPr>
            <w:fldChar w:fldCharType="separate"/>
          </w:r>
          <w:r>
            <w:rPr>
              <w:rFonts w:hint="eastAsia" w:ascii="楷体" w:hAnsi="楷体" w:eastAsia="楷体" w:cs="楷体"/>
              <w:lang w:val="en-US" w:eastAsia="zh-CN"/>
            </w:rPr>
            <w:t>（三）自然灾害防治方面</w:t>
          </w:r>
          <w:r>
            <w:rPr>
              <w:rFonts w:hint="eastAsia" w:ascii="楷体" w:hAnsi="楷体" w:eastAsia="楷体" w:cs="楷体"/>
              <w:lang w:val="en-US" w:eastAsia="zh-CN"/>
            </w:rPr>
            <w:tab/>
          </w:r>
          <w:r>
            <w:rPr>
              <w:rFonts w:hint="eastAsia" w:ascii="楷体" w:hAnsi="楷体" w:eastAsia="楷体" w:cs="楷体"/>
              <w:lang w:val="en-US" w:eastAsia="zh-CN"/>
            </w:rPr>
            <w:fldChar w:fldCharType="begin"/>
          </w:r>
          <w:r>
            <w:rPr>
              <w:rFonts w:hint="eastAsia" w:ascii="楷体" w:hAnsi="楷体" w:eastAsia="楷体" w:cs="楷体"/>
              <w:lang w:val="en-US" w:eastAsia="zh-CN"/>
            </w:rPr>
            <w:instrText xml:space="preserve"> PAGEREF _Toc29628 \h </w:instrText>
          </w:r>
          <w:r>
            <w:rPr>
              <w:rFonts w:hint="eastAsia" w:ascii="楷体" w:hAnsi="楷体" w:eastAsia="楷体" w:cs="楷体"/>
              <w:lang w:val="en-US" w:eastAsia="zh-CN"/>
            </w:rPr>
            <w:fldChar w:fldCharType="separate"/>
          </w:r>
          <w:r>
            <w:rPr>
              <w:rFonts w:hint="eastAsia" w:ascii="楷体" w:hAnsi="楷体" w:eastAsia="楷体" w:cs="楷体"/>
              <w:lang w:val="en-US" w:eastAsia="zh-CN"/>
            </w:rPr>
            <w:t>17</w:t>
          </w:r>
          <w:r>
            <w:rPr>
              <w:rFonts w:hint="eastAsia" w:ascii="楷体" w:hAnsi="楷体" w:eastAsia="楷体" w:cs="楷体"/>
              <w:lang w:val="en-US" w:eastAsia="zh-CN"/>
            </w:rPr>
            <w:fldChar w:fldCharType="end"/>
          </w:r>
          <w:r>
            <w:rPr>
              <w:rFonts w:hint="eastAsia" w:ascii="楷体" w:hAnsi="楷体" w:eastAsia="楷体" w:cs="楷体"/>
              <w:lang w:val="en-US" w:eastAsia="zh-CN"/>
            </w:rPr>
            <w:fldChar w:fldCharType="end"/>
          </w:r>
        </w:p>
        <w:p>
          <w:pPr>
            <w:pStyle w:val="11"/>
            <w:tabs>
              <w:tab w:val="right" w:leader="dot" w:pos="8845"/>
            </w:tabs>
            <w:rPr>
              <w:rFonts w:hint="eastAsia" w:ascii="楷体" w:hAnsi="楷体" w:eastAsia="楷体" w:cs="楷体"/>
              <w:lang w:val="en-US" w:eastAsia="zh-CN"/>
            </w:rPr>
          </w:pPr>
          <w:r>
            <w:rPr>
              <w:rFonts w:hint="eastAsia" w:ascii="楷体" w:hAnsi="楷体" w:eastAsia="楷体" w:cs="楷体"/>
              <w:lang w:val="en-US" w:eastAsia="zh-CN"/>
            </w:rPr>
            <w:fldChar w:fldCharType="begin"/>
          </w:r>
          <w:r>
            <w:rPr>
              <w:rFonts w:hint="eastAsia" w:ascii="楷体" w:hAnsi="楷体" w:eastAsia="楷体" w:cs="楷体"/>
              <w:lang w:val="en-US" w:eastAsia="zh-CN"/>
            </w:rPr>
            <w:instrText xml:space="preserve"> HYPERLINK \l _Toc1886 </w:instrText>
          </w:r>
          <w:r>
            <w:rPr>
              <w:rFonts w:hint="eastAsia" w:ascii="楷体" w:hAnsi="楷体" w:eastAsia="楷体" w:cs="楷体"/>
              <w:lang w:val="en-US" w:eastAsia="zh-CN"/>
            </w:rPr>
            <w:fldChar w:fldCharType="separate"/>
          </w:r>
          <w:r>
            <w:rPr>
              <w:rFonts w:hint="eastAsia" w:ascii="楷体" w:hAnsi="楷体" w:eastAsia="楷体" w:cs="楷体"/>
              <w:lang w:val="en-US" w:eastAsia="zh-CN"/>
            </w:rPr>
            <w:t>（四）应急能力建设方面</w:t>
          </w:r>
          <w:r>
            <w:rPr>
              <w:rFonts w:hint="eastAsia" w:ascii="楷体" w:hAnsi="楷体" w:eastAsia="楷体" w:cs="楷体"/>
              <w:lang w:val="en-US" w:eastAsia="zh-CN"/>
            </w:rPr>
            <w:tab/>
          </w:r>
          <w:r>
            <w:rPr>
              <w:rFonts w:hint="eastAsia" w:ascii="楷体" w:hAnsi="楷体" w:eastAsia="楷体" w:cs="楷体"/>
              <w:lang w:val="en-US" w:eastAsia="zh-CN"/>
            </w:rPr>
            <w:fldChar w:fldCharType="begin"/>
          </w:r>
          <w:r>
            <w:rPr>
              <w:rFonts w:hint="eastAsia" w:ascii="楷体" w:hAnsi="楷体" w:eastAsia="楷体" w:cs="楷体"/>
              <w:lang w:val="en-US" w:eastAsia="zh-CN"/>
            </w:rPr>
            <w:instrText xml:space="preserve"> PAGEREF _Toc1886 \h </w:instrText>
          </w:r>
          <w:r>
            <w:rPr>
              <w:rFonts w:hint="eastAsia" w:ascii="楷体" w:hAnsi="楷体" w:eastAsia="楷体" w:cs="楷体"/>
              <w:lang w:val="en-US" w:eastAsia="zh-CN"/>
            </w:rPr>
            <w:fldChar w:fldCharType="separate"/>
          </w:r>
          <w:r>
            <w:rPr>
              <w:rFonts w:hint="eastAsia" w:ascii="楷体" w:hAnsi="楷体" w:eastAsia="楷体" w:cs="楷体"/>
              <w:lang w:val="en-US" w:eastAsia="zh-CN"/>
            </w:rPr>
            <w:t>20</w:t>
          </w:r>
          <w:r>
            <w:rPr>
              <w:rFonts w:hint="eastAsia" w:ascii="楷体" w:hAnsi="楷体" w:eastAsia="楷体" w:cs="楷体"/>
              <w:lang w:val="en-US" w:eastAsia="zh-CN"/>
            </w:rPr>
            <w:fldChar w:fldCharType="end"/>
          </w:r>
          <w:r>
            <w:rPr>
              <w:rFonts w:hint="eastAsia" w:ascii="楷体" w:hAnsi="楷体" w:eastAsia="楷体" w:cs="楷体"/>
              <w:lang w:val="en-US" w:eastAsia="zh-CN"/>
            </w:rPr>
            <w:fldChar w:fldCharType="end"/>
          </w:r>
        </w:p>
        <w:p>
          <w:pPr>
            <w:pStyle w:val="11"/>
            <w:tabs>
              <w:tab w:val="right" w:leader="dot" w:pos="8845"/>
            </w:tabs>
            <w:rPr>
              <w:rFonts w:hint="eastAsia" w:ascii="楷体" w:hAnsi="楷体" w:eastAsia="楷体" w:cs="楷体"/>
              <w:lang w:val="en-US" w:eastAsia="zh-CN"/>
            </w:rPr>
          </w:pPr>
          <w:r>
            <w:rPr>
              <w:rFonts w:hint="eastAsia" w:ascii="楷体" w:hAnsi="楷体" w:eastAsia="楷体" w:cs="楷体"/>
              <w:lang w:val="en-US" w:eastAsia="zh-CN"/>
            </w:rPr>
            <w:fldChar w:fldCharType="begin"/>
          </w:r>
          <w:r>
            <w:rPr>
              <w:rFonts w:hint="eastAsia" w:ascii="楷体" w:hAnsi="楷体" w:eastAsia="楷体" w:cs="楷体"/>
              <w:lang w:val="en-US" w:eastAsia="zh-CN"/>
            </w:rPr>
            <w:instrText xml:space="preserve"> HYPERLINK \l _Toc21830 </w:instrText>
          </w:r>
          <w:r>
            <w:rPr>
              <w:rFonts w:hint="eastAsia" w:ascii="楷体" w:hAnsi="楷体" w:eastAsia="楷体" w:cs="楷体"/>
              <w:lang w:val="en-US" w:eastAsia="zh-CN"/>
            </w:rPr>
            <w:fldChar w:fldCharType="separate"/>
          </w:r>
          <w:r>
            <w:rPr>
              <w:rFonts w:hint="eastAsia" w:ascii="楷体" w:hAnsi="楷体" w:eastAsia="楷体" w:cs="楷体"/>
              <w:lang w:val="en-US" w:eastAsia="zh-CN"/>
            </w:rPr>
            <w:t>（五） 先进技术应用方面</w:t>
          </w:r>
          <w:r>
            <w:rPr>
              <w:rFonts w:hint="eastAsia" w:ascii="楷体" w:hAnsi="楷体" w:eastAsia="楷体" w:cs="楷体"/>
              <w:lang w:val="en-US" w:eastAsia="zh-CN"/>
            </w:rPr>
            <w:tab/>
          </w:r>
          <w:r>
            <w:rPr>
              <w:rFonts w:hint="eastAsia" w:ascii="楷体" w:hAnsi="楷体" w:eastAsia="楷体" w:cs="楷体"/>
              <w:lang w:val="en-US" w:eastAsia="zh-CN"/>
            </w:rPr>
            <w:fldChar w:fldCharType="begin"/>
          </w:r>
          <w:r>
            <w:rPr>
              <w:rFonts w:hint="eastAsia" w:ascii="楷体" w:hAnsi="楷体" w:eastAsia="楷体" w:cs="楷体"/>
              <w:lang w:val="en-US" w:eastAsia="zh-CN"/>
            </w:rPr>
            <w:instrText xml:space="preserve"> PAGEREF _Toc21830 \h </w:instrText>
          </w:r>
          <w:r>
            <w:rPr>
              <w:rFonts w:hint="eastAsia" w:ascii="楷体" w:hAnsi="楷体" w:eastAsia="楷体" w:cs="楷体"/>
              <w:lang w:val="en-US" w:eastAsia="zh-CN"/>
            </w:rPr>
            <w:fldChar w:fldCharType="separate"/>
          </w:r>
          <w:r>
            <w:rPr>
              <w:rFonts w:hint="eastAsia" w:ascii="楷体" w:hAnsi="楷体" w:eastAsia="楷体" w:cs="楷体"/>
              <w:lang w:val="en-US" w:eastAsia="zh-CN"/>
            </w:rPr>
            <w:t>24</w:t>
          </w:r>
          <w:r>
            <w:rPr>
              <w:rFonts w:hint="eastAsia" w:ascii="楷体" w:hAnsi="楷体" w:eastAsia="楷体" w:cs="楷体"/>
              <w:lang w:val="en-US" w:eastAsia="zh-CN"/>
            </w:rPr>
            <w:fldChar w:fldCharType="end"/>
          </w:r>
          <w:r>
            <w:rPr>
              <w:rFonts w:hint="eastAsia" w:ascii="楷体" w:hAnsi="楷体" w:eastAsia="楷体" w:cs="楷体"/>
              <w:lang w:val="en-US" w:eastAsia="zh-CN"/>
            </w:rPr>
            <w:fldChar w:fldCharType="end"/>
          </w:r>
        </w:p>
        <w:p>
          <w:pPr>
            <w:pStyle w:val="11"/>
            <w:tabs>
              <w:tab w:val="right" w:leader="dot" w:pos="8845"/>
            </w:tabs>
            <w:rPr>
              <w:rFonts w:hint="eastAsia" w:ascii="楷体" w:hAnsi="楷体" w:eastAsia="楷体" w:cs="楷体"/>
              <w:lang w:val="en-US" w:eastAsia="zh-CN"/>
            </w:rPr>
          </w:pPr>
          <w:r>
            <w:rPr>
              <w:rFonts w:hint="eastAsia" w:ascii="楷体" w:hAnsi="楷体" w:eastAsia="楷体" w:cs="楷体"/>
              <w:lang w:val="en-US" w:eastAsia="zh-CN"/>
            </w:rPr>
            <w:fldChar w:fldCharType="begin"/>
          </w:r>
          <w:r>
            <w:rPr>
              <w:rFonts w:hint="eastAsia" w:ascii="楷体" w:hAnsi="楷体" w:eastAsia="楷体" w:cs="楷体"/>
              <w:lang w:val="en-US" w:eastAsia="zh-CN"/>
            </w:rPr>
            <w:instrText xml:space="preserve"> HYPERLINK \l _Toc11029 </w:instrText>
          </w:r>
          <w:r>
            <w:rPr>
              <w:rFonts w:hint="eastAsia" w:ascii="楷体" w:hAnsi="楷体" w:eastAsia="楷体" w:cs="楷体"/>
              <w:lang w:val="en-US" w:eastAsia="zh-CN"/>
            </w:rPr>
            <w:fldChar w:fldCharType="separate"/>
          </w:r>
          <w:r>
            <w:rPr>
              <w:rFonts w:hint="eastAsia" w:ascii="楷体" w:hAnsi="楷体" w:eastAsia="楷体" w:cs="楷体"/>
              <w:lang w:val="en-US" w:eastAsia="zh-CN"/>
            </w:rPr>
            <w:t>（六） 应急管理共建共治共享方面</w:t>
          </w:r>
          <w:r>
            <w:rPr>
              <w:rFonts w:hint="eastAsia" w:ascii="楷体" w:hAnsi="楷体" w:eastAsia="楷体" w:cs="楷体"/>
              <w:lang w:val="en-US" w:eastAsia="zh-CN"/>
            </w:rPr>
            <w:tab/>
          </w:r>
          <w:r>
            <w:rPr>
              <w:rFonts w:hint="eastAsia" w:ascii="楷体" w:hAnsi="楷体" w:eastAsia="楷体" w:cs="楷体"/>
              <w:lang w:val="en-US" w:eastAsia="zh-CN"/>
            </w:rPr>
            <w:fldChar w:fldCharType="begin"/>
          </w:r>
          <w:r>
            <w:rPr>
              <w:rFonts w:hint="eastAsia" w:ascii="楷体" w:hAnsi="楷体" w:eastAsia="楷体" w:cs="楷体"/>
              <w:lang w:val="en-US" w:eastAsia="zh-CN"/>
            </w:rPr>
            <w:instrText xml:space="preserve"> PAGEREF _Toc11029 \h </w:instrText>
          </w:r>
          <w:r>
            <w:rPr>
              <w:rFonts w:hint="eastAsia" w:ascii="楷体" w:hAnsi="楷体" w:eastAsia="楷体" w:cs="楷体"/>
              <w:lang w:val="en-US" w:eastAsia="zh-CN"/>
            </w:rPr>
            <w:fldChar w:fldCharType="separate"/>
          </w:r>
          <w:r>
            <w:rPr>
              <w:rFonts w:hint="eastAsia" w:ascii="楷体" w:hAnsi="楷体" w:eastAsia="楷体" w:cs="楷体"/>
              <w:lang w:val="en-US" w:eastAsia="zh-CN"/>
            </w:rPr>
            <w:t>26</w:t>
          </w:r>
          <w:r>
            <w:rPr>
              <w:rFonts w:hint="eastAsia" w:ascii="楷体" w:hAnsi="楷体" w:eastAsia="楷体" w:cs="楷体"/>
              <w:lang w:val="en-US" w:eastAsia="zh-CN"/>
            </w:rPr>
            <w:fldChar w:fldCharType="end"/>
          </w:r>
          <w:r>
            <w:rPr>
              <w:rFonts w:hint="eastAsia" w:ascii="楷体" w:hAnsi="楷体" w:eastAsia="楷体" w:cs="楷体"/>
              <w:lang w:val="en-US" w:eastAsia="zh-CN"/>
            </w:rPr>
            <w:fldChar w:fldCharType="end"/>
          </w:r>
        </w:p>
        <w:p>
          <w:pPr>
            <w:pStyle w:val="10"/>
            <w:tabs>
              <w:tab w:val="right" w:leader="dot" w:pos="8845"/>
            </w:tabs>
          </w:pPr>
          <w:r>
            <w:rPr>
              <w:rFonts w:hint="eastAsia" w:ascii="Times New Roman" w:hAnsi="Times New Roman"/>
              <w:lang w:val="en-US" w:eastAsia="zh-CN"/>
            </w:rPr>
            <w:fldChar w:fldCharType="begin"/>
          </w:r>
          <w:r>
            <w:rPr>
              <w:rFonts w:hint="eastAsia" w:ascii="Times New Roman" w:hAnsi="Times New Roman"/>
              <w:lang w:val="en-US" w:eastAsia="zh-CN"/>
            </w:rPr>
            <w:instrText xml:space="preserve"> HYPERLINK \l _Toc7490 </w:instrText>
          </w:r>
          <w:r>
            <w:rPr>
              <w:rFonts w:hint="eastAsia" w:ascii="Times New Roman" w:hAnsi="Times New Roman"/>
              <w:lang w:val="en-US" w:eastAsia="zh-CN"/>
            </w:rPr>
            <w:fldChar w:fldCharType="separate"/>
          </w:r>
          <w:r>
            <w:rPr>
              <w:rFonts w:hint="eastAsia" w:ascii="黑体" w:hAnsi="黑体" w:eastAsia="黑体" w:cs="黑体"/>
              <w:lang w:val="en-US" w:eastAsia="zh-CN"/>
            </w:rPr>
            <w:t>五、 保障措施</w:t>
          </w:r>
          <w:r>
            <w:tab/>
          </w:r>
          <w:r>
            <w:fldChar w:fldCharType="begin"/>
          </w:r>
          <w:r>
            <w:instrText xml:space="preserve"> PAGEREF _Toc7490 \h </w:instrText>
          </w:r>
          <w:r>
            <w:fldChar w:fldCharType="separate"/>
          </w:r>
          <w:r>
            <w:t>27</w:t>
          </w:r>
          <w:r>
            <w:fldChar w:fldCharType="end"/>
          </w:r>
          <w:r>
            <w:rPr>
              <w:rFonts w:hint="eastAsia" w:ascii="Times New Roman" w:hAnsi="Times New Roman"/>
              <w:lang w:val="en-US" w:eastAsia="zh-CN"/>
            </w:rPr>
            <w:fldChar w:fldCharType="end"/>
          </w:r>
        </w:p>
        <w:p>
          <w:pPr>
            <w:pStyle w:val="10"/>
            <w:tabs>
              <w:tab w:val="right" w:leader="dot" w:pos="8845"/>
            </w:tabs>
          </w:pPr>
          <w:r>
            <w:rPr>
              <w:rFonts w:hint="eastAsia" w:ascii="Times New Roman" w:hAnsi="Times New Roman"/>
              <w:lang w:val="en-US" w:eastAsia="zh-CN"/>
            </w:rPr>
            <w:fldChar w:fldCharType="begin"/>
          </w:r>
          <w:r>
            <w:rPr>
              <w:rFonts w:hint="eastAsia" w:ascii="Times New Roman" w:hAnsi="Times New Roman"/>
              <w:lang w:val="en-US" w:eastAsia="zh-CN"/>
            </w:rPr>
            <w:instrText xml:space="preserve"> HYPERLINK \l _Toc5465 </w:instrText>
          </w:r>
          <w:r>
            <w:rPr>
              <w:rFonts w:hint="eastAsia" w:ascii="Times New Roman" w:hAnsi="Times New Roman"/>
              <w:lang w:val="en-US" w:eastAsia="zh-CN"/>
            </w:rPr>
            <w:fldChar w:fldCharType="separate"/>
          </w:r>
          <w:r>
            <w:rPr>
              <w:rFonts w:hint="eastAsia" w:ascii="黑体" w:hAnsi="黑体" w:eastAsia="黑体" w:cs="黑体"/>
              <w:lang w:val="en-US" w:eastAsia="zh-CN"/>
            </w:rPr>
            <w:t>六、 附图</w:t>
          </w:r>
          <w:r>
            <w:tab/>
          </w:r>
          <w:r>
            <w:fldChar w:fldCharType="begin"/>
          </w:r>
          <w:r>
            <w:instrText xml:space="preserve"> PAGEREF _Toc5465 \h </w:instrText>
          </w:r>
          <w:r>
            <w:fldChar w:fldCharType="separate"/>
          </w:r>
          <w:r>
            <w:t>29</w:t>
          </w:r>
          <w:r>
            <w:fldChar w:fldCharType="end"/>
          </w:r>
          <w:r>
            <w:rPr>
              <w:rFonts w:hint="eastAsia" w:ascii="Times New Roman" w:hAnsi="Times New Roman"/>
              <w:lang w:val="en-US" w:eastAsia="zh-CN"/>
            </w:rPr>
            <w:fldChar w:fldCharType="end"/>
          </w:r>
        </w:p>
        <w:p>
          <w:pPr>
            <w:ind w:left="0" w:leftChars="0" w:firstLine="0" w:firstLineChars="0"/>
            <w:rPr>
              <w:rFonts w:hint="eastAsia"/>
              <w:lang w:val="en-US" w:eastAsia="zh-CN"/>
            </w:rPr>
            <w:sectPr>
              <w:footerReference r:id="rId5" w:type="default"/>
              <w:pgSz w:w="11906" w:h="16838"/>
              <w:pgMar w:top="2098" w:right="1474" w:bottom="1984" w:left="1587" w:header="851" w:footer="992" w:gutter="0"/>
              <w:pgNumType w:start="1"/>
              <w:cols w:space="0" w:num="1"/>
              <w:rtlGutter w:val="0"/>
              <w:docGrid w:type="lines" w:linePitch="439" w:charSpace="0"/>
            </w:sectPr>
          </w:pPr>
          <w:r>
            <w:rPr>
              <w:rFonts w:hint="eastAsia" w:ascii="Times New Roman" w:hAnsi="Times New Roman"/>
              <w:lang w:val="en-US" w:eastAsia="zh-CN"/>
            </w:rPr>
            <w:fldChar w:fldCharType="end"/>
          </w:r>
        </w:p>
      </w:sdtContent>
    </w:sdt>
    <w:p>
      <w:pPr>
        <w:pStyle w:val="3"/>
        <w:jc w:val="center"/>
        <w:rPr>
          <w:b w:val="0"/>
          <w:bCs/>
        </w:rPr>
      </w:pPr>
      <w:bookmarkStart w:id="2" w:name="_Toc489"/>
      <w:r>
        <w:rPr>
          <w:rFonts w:hint="eastAsia" w:ascii="Times New Roman" w:hAnsi="Times New Roman"/>
          <w:b w:val="0"/>
          <w:bCs/>
          <w:lang w:val="en-US" w:eastAsia="zh-CN"/>
        </w:rPr>
        <w:t>一、</w:t>
      </w:r>
      <w:r>
        <w:rPr>
          <w:rFonts w:hint="eastAsia" w:ascii="Times New Roman" w:hAnsi="Times New Roman"/>
          <w:b w:val="0"/>
          <w:bCs/>
        </w:rPr>
        <w:t>总则</w:t>
      </w:r>
      <w:bookmarkEnd w:id="0"/>
      <w:bookmarkEnd w:id="1"/>
      <w:bookmarkEnd w:id="2"/>
    </w:p>
    <w:p>
      <w:pPr>
        <w:pStyle w:val="2"/>
        <w:ind w:firstLine="640" w:firstLineChars="200"/>
        <w:jc w:val="center"/>
        <w:rPr>
          <w:rFonts w:hint="default"/>
          <w:b w:val="0"/>
          <w:bCs/>
          <w:lang w:val="en-US"/>
        </w:rPr>
      </w:pPr>
      <w:bookmarkStart w:id="3" w:name="_Toc99734370"/>
      <w:bookmarkStart w:id="4" w:name="_Toc6593"/>
      <w:bookmarkStart w:id="5" w:name="_Toc4132"/>
      <w:bookmarkStart w:id="6" w:name="_Toc24696"/>
      <w:bookmarkStart w:id="7" w:name="_Toc6045"/>
      <w:r>
        <w:rPr>
          <w:rFonts w:hint="eastAsia"/>
          <w:b w:val="0"/>
          <w:bCs/>
          <w:lang w:eastAsia="zh-CN"/>
        </w:rPr>
        <w:t>（</w:t>
      </w:r>
      <w:r>
        <w:rPr>
          <w:rFonts w:hint="eastAsia"/>
          <w:b w:val="0"/>
          <w:bCs/>
          <w:lang w:val="en-US" w:eastAsia="zh-CN"/>
        </w:rPr>
        <w:t>一</w:t>
      </w:r>
      <w:r>
        <w:rPr>
          <w:rFonts w:hint="eastAsia"/>
          <w:b w:val="0"/>
          <w:bCs/>
          <w:lang w:eastAsia="zh-CN"/>
        </w:rPr>
        <w:t>）</w:t>
      </w:r>
      <w:bookmarkEnd w:id="3"/>
      <w:bookmarkEnd w:id="4"/>
      <w:bookmarkEnd w:id="5"/>
      <w:bookmarkEnd w:id="6"/>
      <w:bookmarkEnd w:id="7"/>
      <w:r>
        <w:rPr>
          <w:rFonts w:hint="eastAsia"/>
          <w:b w:val="0"/>
          <w:bCs/>
          <w:lang w:val="en-US" w:eastAsia="zh-CN"/>
        </w:rPr>
        <w:t>地位作用</w:t>
      </w:r>
    </w:p>
    <w:p>
      <w:pPr>
        <w:ind w:firstLine="640"/>
        <w:rPr>
          <w:rFonts w:hint="eastAsia"/>
        </w:rPr>
      </w:pPr>
      <w:bookmarkStart w:id="8" w:name="_Hlk104843376"/>
      <w:r>
        <w:rPr>
          <w:rFonts w:hint="eastAsia"/>
        </w:rPr>
        <w:t>编制陈毅故里红色旅游康养片区应急体系专项规划，是全面落实四川省委省政府、</w:t>
      </w:r>
      <w:r>
        <w:rPr>
          <w:rFonts w:hint="eastAsia"/>
          <w:lang w:val="en-US" w:eastAsia="zh-CN"/>
        </w:rPr>
        <w:t>资阳市</w:t>
      </w:r>
      <w:r>
        <w:rPr>
          <w:rFonts w:hint="eastAsia"/>
        </w:rPr>
        <w:t>委市政府、</w:t>
      </w:r>
      <w:r>
        <w:rPr>
          <w:rFonts w:hint="eastAsia"/>
          <w:lang w:val="en-US" w:eastAsia="zh-CN"/>
        </w:rPr>
        <w:t>乐至</w:t>
      </w:r>
      <w:r>
        <w:rPr>
          <w:rFonts w:hint="eastAsia"/>
        </w:rPr>
        <w:t>县委县政府关于做好两项改革“后半篇”文章的重大举措，是融合衔接</w:t>
      </w:r>
      <w:r>
        <w:rPr>
          <w:rFonts w:hint="eastAsia" w:cs="Times New Roman"/>
          <w:szCs w:val="32"/>
        </w:rPr>
        <w:t>发展片区</w:t>
      </w:r>
      <w:r>
        <w:rPr>
          <w:rFonts w:hint="eastAsia"/>
        </w:rPr>
        <w:t>国土空间规划的实际需求，是对</w:t>
      </w:r>
      <w:r>
        <w:rPr>
          <w:rFonts w:hint="eastAsia"/>
          <w:highlight w:val="none"/>
        </w:rPr>
        <w:t>“十四五”应急体系规划</w:t>
      </w:r>
      <w:r>
        <w:rPr>
          <w:rFonts w:hint="eastAsia"/>
        </w:rPr>
        <w:t>的细化和深化，是自然灾害综合风险普查成果的具体应用，是健全完善</w:t>
      </w:r>
      <w:r>
        <w:rPr>
          <w:rFonts w:hint="eastAsia" w:cs="Times New Roman"/>
          <w:szCs w:val="32"/>
        </w:rPr>
        <w:t>发展片区</w:t>
      </w:r>
      <w:r>
        <w:rPr>
          <w:rFonts w:hint="eastAsia"/>
        </w:rPr>
        <w:t>应急体系、提升应急能力的重要依据</w:t>
      </w:r>
      <w:bookmarkEnd w:id="8"/>
      <w:r>
        <w:rPr>
          <w:rFonts w:hint="eastAsia"/>
        </w:rPr>
        <w:t>。</w:t>
      </w:r>
    </w:p>
    <w:p>
      <w:pPr>
        <w:pStyle w:val="6"/>
        <w:rPr>
          <w:rFonts w:hint="default"/>
          <w:lang w:val="en-US" w:eastAsia="zh-CN"/>
        </w:rPr>
      </w:pPr>
      <w:r>
        <w:rPr>
          <w:rFonts w:hint="eastAsia"/>
          <w:lang w:val="en-US" w:eastAsia="zh-CN"/>
        </w:rPr>
        <w:t>本规划与乐至县陈毅故里红色旅游康养片区国土空间规划期限一致，为2021-2035年，近期为5年。</w:t>
      </w:r>
    </w:p>
    <w:p>
      <w:pPr>
        <w:pStyle w:val="2"/>
        <w:ind w:firstLine="640" w:firstLineChars="200"/>
        <w:jc w:val="center"/>
        <w:rPr>
          <w:rFonts w:hint="eastAsia"/>
          <w:b w:val="0"/>
          <w:bCs/>
          <w:lang w:eastAsia="zh-CN"/>
        </w:rPr>
      </w:pPr>
      <w:bookmarkStart w:id="9" w:name="_Toc10427"/>
      <w:bookmarkStart w:id="10" w:name="_Toc26171"/>
      <w:bookmarkStart w:id="11" w:name="_Toc945"/>
      <w:bookmarkStart w:id="12" w:name="_Toc99734372"/>
      <w:bookmarkStart w:id="13" w:name="_Toc21207"/>
      <w:bookmarkStart w:id="14" w:name="_Toc20277"/>
    </w:p>
    <w:p>
      <w:pPr>
        <w:pStyle w:val="2"/>
        <w:ind w:firstLine="640" w:firstLineChars="200"/>
        <w:jc w:val="center"/>
        <w:rPr>
          <w:rFonts w:ascii="Times New Roman" w:hAnsi="Times New Roman" w:eastAsia="方正仿宋简体"/>
          <w:b w:val="0"/>
          <w:bCs/>
        </w:rPr>
      </w:pPr>
      <w:r>
        <w:rPr>
          <w:rFonts w:hint="eastAsia"/>
          <w:b w:val="0"/>
          <w:bCs/>
          <w:lang w:eastAsia="zh-CN"/>
        </w:rPr>
        <w:t>（</w:t>
      </w:r>
      <w:r>
        <w:rPr>
          <w:rFonts w:hint="eastAsia"/>
          <w:b w:val="0"/>
          <w:bCs/>
          <w:lang w:val="en-US" w:eastAsia="zh-CN"/>
        </w:rPr>
        <w:t>二</w:t>
      </w:r>
      <w:r>
        <w:rPr>
          <w:rFonts w:hint="eastAsia"/>
          <w:b w:val="0"/>
          <w:bCs/>
          <w:lang w:eastAsia="zh-CN"/>
        </w:rPr>
        <w:t>）</w:t>
      </w:r>
      <w:r>
        <w:rPr>
          <w:rFonts w:hint="eastAsia"/>
          <w:b w:val="0"/>
          <w:bCs/>
        </w:rPr>
        <w:t>规划依据</w:t>
      </w:r>
      <w:bookmarkEnd w:id="9"/>
      <w:bookmarkEnd w:id="10"/>
      <w:bookmarkEnd w:id="11"/>
      <w:bookmarkEnd w:id="12"/>
      <w:bookmarkEnd w:id="13"/>
      <w:bookmarkEnd w:id="14"/>
    </w:p>
    <w:p>
      <w:pPr>
        <w:rPr>
          <w:rFonts w:hint="eastAsia"/>
          <w:lang w:val="en-US" w:eastAsia="zh-CN"/>
        </w:rPr>
      </w:pPr>
      <w:bookmarkStart w:id="15" w:name="_Hlk97367744"/>
      <w:r>
        <w:rPr>
          <w:rFonts w:hint="eastAsia"/>
          <w:lang w:val="en-US" w:eastAsia="zh-CN"/>
        </w:rPr>
        <w:t>1.</w:t>
      </w:r>
      <w:r>
        <w:rPr>
          <w:rFonts w:hint="eastAsia"/>
          <w:lang w:eastAsia="zh-CN"/>
        </w:rPr>
        <w:t>《</w:t>
      </w:r>
      <w:r>
        <w:rPr>
          <w:rFonts w:hint="eastAsia"/>
          <w:lang w:val="en-US" w:eastAsia="zh-CN"/>
        </w:rPr>
        <w:t>中华人民共和国安全生产法》</w:t>
      </w:r>
    </w:p>
    <w:p>
      <w:pPr>
        <w:pStyle w:val="6"/>
        <w:rPr>
          <w:rFonts w:hint="default"/>
          <w:lang w:val="en-US" w:eastAsia="zh-CN"/>
        </w:rPr>
      </w:pPr>
      <w:r>
        <w:rPr>
          <w:rFonts w:hint="eastAsia"/>
          <w:lang w:val="en-US" w:eastAsia="zh-CN"/>
        </w:rPr>
        <w:t>2.《中华人民共和国突发事件应对法》</w:t>
      </w:r>
    </w:p>
    <w:p>
      <w:pPr>
        <w:rPr>
          <w:szCs w:val="32"/>
        </w:rPr>
      </w:pPr>
      <w:r>
        <w:rPr>
          <w:rFonts w:hint="eastAsia"/>
          <w:lang w:val="en-US" w:eastAsia="zh-CN"/>
        </w:rPr>
        <w:t>3</w:t>
      </w:r>
      <w:r>
        <w:rPr>
          <w:rFonts w:hint="eastAsia"/>
        </w:rPr>
        <w:t>.</w:t>
      </w:r>
      <w:r>
        <w:rPr>
          <w:rFonts w:hint="eastAsia"/>
          <w:szCs w:val="32"/>
        </w:rPr>
        <w:t>《中共四川省委办公厅</w:t>
      </w:r>
      <w:r>
        <w:rPr>
          <w:rFonts w:hint="eastAsia"/>
          <w:szCs w:val="32"/>
          <w:lang w:val="en-US" w:eastAsia="zh-CN"/>
        </w:rPr>
        <w:t xml:space="preserve"> </w:t>
      </w:r>
      <w:r>
        <w:rPr>
          <w:rFonts w:hint="eastAsia"/>
          <w:szCs w:val="32"/>
        </w:rPr>
        <w:t>四川省人民政府办公厅</w:t>
      </w:r>
      <w:r>
        <w:rPr>
          <w:rFonts w:hint="eastAsia"/>
          <w:szCs w:val="32"/>
          <w:lang w:eastAsia="zh-CN"/>
        </w:rPr>
        <w:t>关于</w:t>
      </w:r>
      <w:r>
        <w:rPr>
          <w:rFonts w:hint="eastAsia"/>
          <w:szCs w:val="32"/>
        </w:rPr>
        <w:t>印发〈关于全省县域内片区划分的指导意见〉〈关于以片区为单元编制乡村国土空间规划的指导意见〉的通知》（川委厅〔2021〕53号）</w:t>
      </w:r>
    </w:p>
    <w:p>
      <w:pPr>
        <w:rPr>
          <w:szCs w:val="32"/>
        </w:rPr>
      </w:pPr>
      <w:r>
        <w:rPr>
          <w:rFonts w:hint="eastAsia"/>
          <w:szCs w:val="32"/>
          <w:lang w:val="en-US" w:eastAsia="zh-CN"/>
        </w:rPr>
        <w:t>4</w:t>
      </w:r>
      <w:r>
        <w:rPr>
          <w:rFonts w:hint="eastAsia"/>
          <w:szCs w:val="32"/>
        </w:rPr>
        <w:t>.《中共四川省委办公厅</w:t>
      </w:r>
      <w:r>
        <w:rPr>
          <w:rFonts w:hint="eastAsia"/>
          <w:szCs w:val="32"/>
          <w:lang w:val="en-US" w:eastAsia="zh-CN"/>
        </w:rPr>
        <w:t xml:space="preserve"> </w:t>
      </w:r>
      <w:r>
        <w:rPr>
          <w:rFonts w:hint="eastAsia"/>
          <w:szCs w:val="32"/>
        </w:rPr>
        <w:t>四川省人民政府办公厅</w:t>
      </w:r>
      <w:r>
        <w:rPr>
          <w:rFonts w:hint="eastAsia"/>
          <w:szCs w:val="32"/>
          <w:lang w:eastAsia="zh-CN"/>
        </w:rPr>
        <w:t>关于</w:t>
      </w:r>
      <w:r>
        <w:rPr>
          <w:rFonts w:hint="eastAsia"/>
          <w:szCs w:val="32"/>
        </w:rPr>
        <w:t>印发〈关于做好乡镇行政区划和村级建制调整改革“后半篇”文章的实施方案〉的通知》（川委厅〔2021〕6号）</w:t>
      </w:r>
    </w:p>
    <w:p>
      <w:pPr>
        <w:rPr>
          <w:szCs w:val="32"/>
        </w:rPr>
      </w:pPr>
      <w:r>
        <w:rPr>
          <w:rFonts w:hint="eastAsia"/>
          <w:szCs w:val="32"/>
          <w:lang w:val="en-US" w:eastAsia="zh-CN"/>
        </w:rPr>
        <w:t>5</w:t>
      </w:r>
      <w:r>
        <w:rPr>
          <w:rFonts w:hint="eastAsia"/>
          <w:szCs w:val="32"/>
        </w:rPr>
        <w:t>.《四川省自然资源厅关于印发〈乡镇级片区专项规划省级工作方案〉的通知》（川自然资发〔2021〕43号）</w:t>
      </w:r>
    </w:p>
    <w:p>
      <w:pPr>
        <w:rPr>
          <w:szCs w:val="32"/>
        </w:rPr>
      </w:pPr>
      <w:r>
        <w:rPr>
          <w:rFonts w:hint="eastAsia"/>
          <w:szCs w:val="32"/>
          <w:lang w:val="en-US" w:eastAsia="zh-CN"/>
        </w:rPr>
        <w:t>6</w:t>
      </w:r>
      <w:r>
        <w:rPr>
          <w:rFonts w:hint="eastAsia"/>
          <w:szCs w:val="32"/>
        </w:rPr>
        <w:t>.《四川省应急管理厅关于印发〈四川省乡镇级片区应急体系专项规划编制要点（试行）〉〈四川省乡镇级片区应急体系专项规划备案程序及审查要点（试行）〉的通知》（川应急〔2022〕3号）</w:t>
      </w:r>
    </w:p>
    <w:p>
      <w:pPr>
        <w:rPr>
          <w:rFonts w:hint="eastAsia"/>
          <w:szCs w:val="32"/>
          <w:lang w:val="en-US" w:eastAsia="zh-CN"/>
        </w:rPr>
      </w:pPr>
      <w:r>
        <w:rPr>
          <w:rFonts w:hint="eastAsia"/>
          <w:szCs w:val="32"/>
          <w:lang w:val="en-US" w:eastAsia="zh-CN"/>
        </w:rPr>
        <w:t>7</w:t>
      </w:r>
      <w:r>
        <w:rPr>
          <w:rFonts w:hint="eastAsia"/>
          <w:szCs w:val="32"/>
        </w:rPr>
        <w:t>.《</w:t>
      </w:r>
      <w:r>
        <w:rPr>
          <w:rFonts w:hint="eastAsia"/>
          <w:szCs w:val="32"/>
          <w:lang w:val="en-US" w:eastAsia="zh-CN"/>
        </w:rPr>
        <w:t>乐至县</w:t>
      </w:r>
      <w:r>
        <w:rPr>
          <w:rFonts w:hint="eastAsia"/>
          <w:szCs w:val="32"/>
        </w:rPr>
        <w:t>国民经济和社会发展第十四个五年规划和二〇三五年远景目标纲要》</w:t>
      </w:r>
    </w:p>
    <w:p>
      <w:pPr>
        <w:rPr>
          <w:rFonts w:hint="eastAsia"/>
          <w:szCs w:val="32"/>
        </w:rPr>
      </w:pPr>
      <w:r>
        <w:rPr>
          <w:rFonts w:hint="eastAsia"/>
          <w:szCs w:val="32"/>
          <w:lang w:val="en-US" w:eastAsia="zh-CN"/>
        </w:rPr>
        <w:t>8</w:t>
      </w:r>
      <w:r>
        <w:rPr>
          <w:rFonts w:hint="eastAsia"/>
          <w:szCs w:val="32"/>
        </w:rPr>
        <w:t>.《</w:t>
      </w:r>
      <w:r>
        <w:rPr>
          <w:rFonts w:hint="eastAsia"/>
          <w:szCs w:val="32"/>
          <w:lang w:val="en-US" w:eastAsia="zh-CN"/>
        </w:rPr>
        <w:t>资阳</w:t>
      </w:r>
      <w:r>
        <w:rPr>
          <w:rFonts w:hint="eastAsia"/>
          <w:szCs w:val="32"/>
        </w:rPr>
        <w:t>市“十四五”应急体系规划》</w:t>
      </w:r>
    </w:p>
    <w:p>
      <w:pPr>
        <w:pStyle w:val="6"/>
        <w:rPr>
          <w:rFonts w:hint="eastAsia"/>
          <w:szCs w:val="32"/>
          <w:highlight w:val="yellow"/>
          <w:lang w:val="en-US" w:eastAsia="zh-CN"/>
        </w:rPr>
      </w:pPr>
      <w:r>
        <w:rPr>
          <w:rFonts w:hint="eastAsia"/>
          <w:szCs w:val="32"/>
          <w:highlight w:val="none"/>
          <w:lang w:val="en-US" w:eastAsia="zh-CN"/>
        </w:rPr>
        <w:t>9.《乐至县</w:t>
      </w:r>
      <w:bookmarkEnd w:id="15"/>
      <w:r>
        <w:rPr>
          <w:rFonts w:hint="eastAsia"/>
          <w:szCs w:val="32"/>
          <w:highlight w:val="none"/>
          <w:lang w:val="en-US" w:eastAsia="zh-CN"/>
        </w:rPr>
        <w:t>“十四五”应急体系规划》</w:t>
      </w:r>
    </w:p>
    <w:p>
      <w:pPr>
        <w:pStyle w:val="2"/>
        <w:ind w:firstLine="640" w:firstLineChars="200"/>
        <w:jc w:val="center"/>
        <w:rPr>
          <w:rFonts w:hint="eastAsia"/>
          <w:b w:val="0"/>
          <w:bCs/>
          <w:szCs w:val="32"/>
          <w:highlight w:val="none"/>
          <w:lang w:val="en-US" w:eastAsia="zh-CN"/>
        </w:rPr>
      </w:pPr>
      <w:bookmarkStart w:id="16" w:name="_Toc11791"/>
    </w:p>
    <w:p>
      <w:pPr>
        <w:pStyle w:val="2"/>
        <w:ind w:firstLine="640" w:firstLineChars="200"/>
        <w:jc w:val="center"/>
        <w:rPr>
          <w:rFonts w:hint="eastAsia"/>
          <w:b w:val="0"/>
          <w:bCs/>
          <w:szCs w:val="32"/>
          <w:highlight w:val="none"/>
          <w:lang w:val="en-US" w:eastAsia="zh-CN"/>
        </w:rPr>
      </w:pPr>
      <w:r>
        <w:rPr>
          <w:rFonts w:hint="eastAsia"/>
          <w:b w:val="0"/>
          <w:bCs/>
          <w:szCs w:val="32"/>
          <w:highlight w:val="none"/>
          <w:lang w:val="en-US" w:eastAsia="zh-CN"/>
        </w:rPr>
        <w:t>（三）规划原则</w:t>
      </w:r>
      <w:bookmarkEnd w:id="16"/>
    </w:p>
    <w:p>
      <w:pPr>
        <w:ind w:firstLine="640"/>
      </w:pPr>
      <w:bookmarkStart w:id="17" w:name="_Toc21225"/>
      <w:r>
        <w:rPr>
          <w:rFonts w:hint="eastAsia"/>
          <w:b/>
          <w:bCs/>
          <w:highlight w:val="none"/>
          <w:lang w:val="en-US" w:eastAsia="zh-CN"/>
        </w:rPr>
        <w:t>1.精准定位片区</w:t>
      </w:r>
      <w:r>
        <w:rPr>
          <w:rFonts w:hint="eastAsia"/>
          <w:b/>
          <w:bCs/>
          <w:highlight w:val="none"/>
        </w:rPr>
        <w:t>。</w:t>
      </w:r>
      <w:r>
        <w:rPr>
          <w:rFonts w:hint="eastAsia"/>
          <w:b w:val="0"/>
          <w:bCs w:val="0"/>
          <w:lang w:val="en-US" w:eastAsia="zh-CN"/>
        </w:rPr>
        <w:t>系统梳理</w:t>
      </w:r>
      <w:r>
        <w:rPr>
          <w:rFonts w:hint="eastAsia"/>
        </w:rPr>
        <w:t>片区安全生产、自然灾害、应急管理机制、应急救援队伍、应急物资储备、应急避难场所现状，摸清底数、找准问题</w:t>
      </w:r>
      <w:r>
        <w:rPr>
          <w:rFonts w:hint="eastAsia"/>
          <w:lang w:eastAsia="zh-CN"/>
        </w:rPr>
        <w:t>、</w:t>
      </w:r>
      <w:r>
        <w:rPr>
          <w:rFonts w:hint="eastAsia"/>
          <w:lang w:val="en-US" w:eastAsia="zh-CN"/>
        </w:rPr>
        <w:t>精准定位</w:t>
      </w:r>
      <w:r>
        <w:rPr>
          <w:rFonts w:hint="eastAsia"/>
        </w:rPr>
        <w:t>。</w:t>
      </w:r>
    </w:p>
    <w:p>
      <w:pPr>
        <w:ind w:firstLine="640"/>
      </w:pPr>
      <w:r>
        <w:rPr>
          <w:rFonts w:hint="eastAsia"/>
          <w:b/>
          <w:bCs/>
          <w:highlight w:val="none"/>
          <w:lang w:val="en-US" w:eastAsia="zh-CN"/>
        </w:rPr>
        <w:t>2.优化</w:t>
      </w:r>
      <w:r>
        <w:rPr>
          <w:rFonts w:hint="eastAsia"/>
          <w:b/>
          <w:bCs/>
          <w:highlight w:val="none"/>
        </w:rPr>
        <w:t>资源</w:t>
      </w:r>
      <w:r>
        <w:rPr>
          <w:rFonts w:hint="eastAsia"/>
          <w:b/>
          <w:bCs/>
          <w:highlight w:val="none"/>
          <w:lang w:val="en-US" w:eastAsia="zh-CN"/>
        </w:rPr>
        <w:t>整合</w:t>
      </w:r>
      <w:r>
        <w:rPr>
          <w:rFonts w:hint="eastAsia"/>
          <w:b/>
          <w:bCs/>
          <w:highlight w:val="none"/>
        </w:rPr>
        <w:t>。</w:t>
      </w:r>
      <w:r>
        <w:rPr>
          <w:rFonts w:hint="eastAsia"/>
        </w:rPr>
        <w:t>充分利用镇村闲置房屋、学校、广场，结合片区国土空间总体规划，按照精准匹配要求，</w:t>
      </w:r>
      <w:r>
        <w:rPr>
          <w:rFonts w:hint="eastAsia"/>
          <w:lang w:val="en-US" w:eastAsia="zh-CN"/>
        </w:rPr>
        <w:t>科学布局应急场所，完善</w:t>
      </w:r>
      <w:r>
        <w:rPr>
          <w:rFonts w:hint="eastAsia"/>
        </w:rPr>
        <w:t>应急设施</w:t>
      </w:r>
      <w:r>
        <w:rPr>
          <w:rFonts w:hint="eastAsia"/>
          <w:lang w:val="en-US" w:eastAsia="zh-CN"/>
        </w:rPr>
        <w:t>设备</w:t>
      </w:r>
      <w:r>
        <w:rPr>
          <w:rFonts w:hint="eastAsia"/>
        </w:rPr>
        <w:t>，提高片区应急资源利用效率。</w:t>
      </w:r>
    </w:p>
    <w:p>
      <w:pPr>
        <w:ind w:firstLine="640"/>
      </w:pPr>
      <w:r>
        <w:rPr>
          <w:rFonts w:hint="eastAsia"/>
          <w:b/>
          <w:bCs/>
          <w:highlight w:val="none"/>
          <w:lang w:val="en-US" w:eastAsia="zh-CN"/>
        </w:rPr>
        <w:t>3.</w:t>
      </w:r>
      <w:r>
        <w:rPr>
          <w:rFonts w:hint="eastAsia"/>
          <w:b/>
          <w:bCs/>
          <w:highlight w:val="none"/>
        </w:rPr>
        <w:t>坚持统筹协调。</w:t>
      </w:r>
      <w:r>
        <w:rPr>
          <w:rFonts w:hint="eastAsia"/>
          <w:highlight w:val="none"/>
        </w:rPr>
        <w:t>有机衔接各级各类规划，充分结合片区实际情况，确定</w:t>
      </w:r>
      <w:r>
        <w:rPr>
          <w:rFonts w:hint="eastAsia"/>
        </w:rPr>
        <w:t>防控重点</w:t>
      </w:r>
      <w:r>
        <w:rPr>
          <w:rFonts w:hint="eastAsia"/>
          <w:highlight w:val="none"/>
        </w:rPr>
        <w:t>，优化资源配置，</w:t>
      </w:r>
      <w:r>
        <w:rPr>
          <w:rFonts w:hint="eastAsia"/>
        </w:rPr>
        <w:t>做到各乡镇优势互补，有效推动基层应急体系和应急能力</w:t>
      </w:r>
      <w:r>
        <w:rPr>
          <w:rFonts w:hint="eastAsia"/>
          <w:lang w:eastAsia="zh-CN"/>
        </w:rPr>
        <w:t>建设</w:t>
      </w:r>
      <w:r>
        <w:rPr>
          <w:rFonts w:hint="eastAsia"/>
        </w:rPr>
        <w:t>现代化。</w:t>
      </w:r>
    </w:p>
    <w:p>
      <w:pPr>
        <w:bidi w:val="0"/>
        <w:rPr>
          <w:rFonts w:hint="eastAsia"/>
        </w:rPr>
      </w:pPr>
      <w:r>
        <w:rPr>
          <w:rFonts w:hint="eastAsia"/>
          <w:b/>
          <w:bCs/>
          <w:lang w:val="en-US" w:eastAsia="zh-CN"/>
        </w:rPr>
        <w:t>4.</w:t>
      </w:r>
      <w:r>
        <w:rPr>
          <w:rFonts w:hint="eastAsia"/>
          <w:b/>
          <w:bCs/>
        </w:rPr>
        <w:t>构建共建共治。</w:t>
      </w:r>
      <w:r>
        <w:rPr>
          <w:rFonts w:hint="eastAsia"/>
        </w:rPr>
        <w:t>加强示范项目建设，</w:t>
      </w:r>
      <w:r>
        <w:rPr>
          <w:rFonts w:hint="eastAsia"/>
          <w:lang w:eastAsia="zh-CN"/>
        </w:rPr>
        <w:t>鼓励干部带头，坚持包保联控，落实群策群防；</w:t>
      </w:r>
      <w:r>
        <w:rPr>
          <w:rFonts w:hint="eastAsia"/>
        </w:rPr>
        <w:t>加大宣传培训，</w:t>
      </w:r>
      <w:r>
        <w:rPr>
          <w:rFonts w:hint="eastAsia"/>
          <w:lang w:eastAsia="zh-CN"/>
        </w:rPr>
        <w:t>全面提升群众</w:t>
      </w:r>
      <w:r>
        <w:rPr>
          <w:rFonts w:hint="eastAsia"/>
        </w:rPr>
        <w:t>自救互救</w:t>
      </w:r>
      <w:r>
        <w:rPr>
          <w:rFonts w:hint="eastAsia"/>
          <w:lang w:eastAsia="zh-CN"/>
        </w:rPr>
        <w:t>的意识和</w:t>
      </w:r>
      <w:r>
        <w:rPr>
          <w:rFonts w:hint="eastAsia"/>
        </w:rPr>
        <w:t>能力，构建共商共建共治共享新格局。</w:t>
      </w:r>
    </w:p>
    <w:bookmarkEnd w:id="17"/>
    <w:p/>
    <w:p>
      <w:pPr>
        <w:pStyle w:val="3"/>
        <w:numPr>
          <w:ilvl w:val="0"/>
          <w:numId w:val="1"/>
        </w:numPr>
        <w:jc w:val="center"/>
        <w:rPr>
          <w:rFonts w:hint="eastAsia" w:ascii="Times New Roman" w:hAnsi="Times New Roman"/>
          <w:b w:val="0"/>
          <w:bCs/>
          <w:lang w:val="en-US" w:eastAsia="zh-CN"/>
        </w:rPr>
      </w:pPr>
      <w:bookmarkStart w:id="18" w:name="_Toc6218"/>
      <w:r>
        <w:rPr>
          <w:rFonts w:hint="eastAsia" w:ascii="Times New Roman" w:hAnsi="Times New Roman"/>
          <w:b w:val="0"/>
          <w:bCs/>
          <w:lang w:val="en-US" w:eastAsia="zh-CN"/>
        </w:rPr>
        <w:t>规划背景</w:t>
      </w:r>
      <w:bookmarkEnd w:id="18"/>
    </w:p>
    <w:p>
      <w:pPr>
        <w:pStyle w:val="2"/>
        <w:ind w:firstLine="643" w:firstLineChars="200"/>
        <w:jc w:val="both"/>
        <w:rPr>
          <w:rFonts w:hint="eastAsia" w:ascii="楷体" w:hAnsi="楷体" w:eastAsia="楷体" w:cs="楷体"/>
          <w:b/>
          <w:bCs w:val="0"/>
          <w:lang w:val="en-US" w:eastAsia="zh-CN"/>
        </w:rPr>
      </w:pPr>
      <w:bookmarkStart w:id="19" w:name="_Toc29065"/>
      <w:r>
        <w:rPr>
          <w:rFonts w:hint="eastAsia"/>
          <w:b/>
          <w:bCs w:val="0"/>
          <w:lang w:val="en-US" w:eastAsia="zh-CN"/>
        </w:rPr>
        <w:t>（一）片区</w:t>
      </w:r>
      <w:r>
        <w:rPr>
          <w:rFonts w:hint="eastAsia" w:ascii="楷体" w:hAnsi="楷体" w:eastAsia="楷体" w:cs="楷体"/>
          <w:b/>
          <w:bCs w:val="0"/>
          <w:lang w:val="en-US" w:eastAsia="zh-CN"/>
        </w:rPr>
        <w:t>现状</w:t>
      </w:r>
      <w:bookmarkEnd w:id="19"/>
    </w:p>
    <w:p>
      <w:pPr>
        <w:pStyle w:val="4"/>
        <w:keepNext/>
        <w:keepLines/>
        <w:pageBreakBefore w:val="0"/>
        <w:widowControl w:val="0"/>
        <w:kinsoku/>
        <w:wordWrap/>
        <w:overflowPunct/>
        <w:topLinePunct w:val="0"/>
        <w:autoSpaceDE/>
        <w:autoSpaceDN/>
        <w:bidi w:val="0"/>
        <w:adjustRightInd/>
        <w:snapToGrid/>
        <w:ind w:firstLine="643"/>
        <w:textAlignment w:val="auto"/>
        <w:rPr>
          <w:rFonts w:hint="eastAsia"/>
          <w:b w:val="0"/>
          <w:bCs w:val="0"/>
          <w:lang w:eastAsia="zh-CN"/>
        </w:rPr>
      </w:pPr>
      <w:r>
        <w:rPr>
          <w:rFonts w:hint="eastAsia"/>
          <w:b w:val="0"/>
          <w:bCs w:val="0"/>
        </w:rPr>
        <w:t>片区地处</w:t>
      </w:r>
      <w:r>
        <w:rPr>
          <w:rFonts w:hint="eastAsia"/>
          <w:b w:val="0"/>
          <w:bCs w:val="0"/>
          <w:lang w:val="en-US" w:eastAsia="zh-CN"/>
        </w:rPr>
        <w:t>县域东</w:t>
      </w:r>
      <w:r>
        <w:rPr>
          <w:rFonts w:hint="eastAsia"/>
          <w:b w:val="0"/>
          <w:bCs w:val="0"/>
        </w:rPr>
        <w:t>部，由劳动镇、宝林镇、龙门镇、石佛镇、蟠龙镇</w:t>
      </w:r>
      <w:r>
        <w:rPr>
          <w:rFonts w:hint="eastAsia"/>
          <w:b w:val="0"/>
          <w:bCs w:val="0"/>
          <w:lang w:eastAsia="zh-CN"/>
        </w:rPr>
        <w:t>共</w:t>
      </w:r>
      <w:r>
        <w:rPr>
          <w:rFonts w:hint="eastAsia"/>
          <w:b w:val="0"/>
          <w:bCs w:val="0"/>
        </w:rPr>
        <w:t>5个镇</w:t>
      </w:r>
      <w:r>
        <w:rPr>
          <w:rFonts w:hint="eastAsia"/>
          <w:b w:val="0"/>
          <w:bCs w:val="0"/>
          <w:lang w:eastAsia="zh-CN"/>
        </w:rPr>
        <w:t>、</w:t>
      </w:r>
      <w:r>
        <w:rPr>
          <w:rFonts w:hint="eastAsia"/>
          <w:b w:val="0"/>
          <w:bCs w:val="0"/>
        </w:rPr>
        <w:t>72个村（社区）</w:t>
      </w:r>
      <w:r>
        <w:rPr>
          <w:rFonts w:hint="eastAsia"/>
          <w:b w:val="0"/>
          <w:bCs w:val="0"/>
          <w:lang w:val="en-US" w:eastAsia="zh-CN"/>
        </w:rPr>
        <w:t>组成，</w:t>
      </w:r>
      <w:r>
        <w:rPr>
          <w:rFonts w:hint="eastAsia"/>
          <w:b w:val="0"/>
          <w:bCs w:val="0"/>
        </w:rPr>
        <w:t>幅员面积311.85平方公里</w:t>
      </w:r>
      <w:r>
        <w:rPr>
          <w:rFonts w:hint="eastAsia"/>
          <w:b w:val="0"/>
          <w:bCs w:val="0"/>
          <w:lang w:eastAsia="zh-CN"/>
        </w:rPr>
        <w:t>。</w:t>
      </w:r>
      <w:r>
        <w:rPr>
          <w:rFonts w:hint="eastAsia"/>
          <w:b w:val="0"/>
          <w:bCs w:val="0"/>
          <w:lang w:val="en-US" w:eastAsia="zh-CN"/>
        </w:rPr>
        <w:t>2020年片区户籍人口15.27万，常住人口7.13万，常住城镇人</w:t>
      </w:r>
      <w:r>
        <w:rPr>
          <w:rFonts w:hint="eastAsia"/>
          <w:b w:val="0"/>
          <w:bCs w:val="0"/>
          <w:highlight w:val="none"/>
          <w:lang w:val="en-US" w:eastAsia="zh-CN"/>
        </w:rPr>
        <w:t>口0.87万，城镇化率12.23%</w:t>
      </w:r>
      <w:r>
        <w:rPr>
          <w:rFonts w:hint="eastAsia"/>
          <w:b w:val="0"/>
          <w:bCs w:val="0"/>
        </w:rPr>
        <w:t>。片区以劳动镇为中心镇、石佛镇为副中心，辐射带动宝林镇、龙门镇、蟠龙镇协调发展</w:t>
      </w:r>
      <w:r>
        <w:rPr>
          <w:rFonts w:hint="eastAsia"/>
          <w:b w:val="0"/>
          <w:bCs w:val="0"/>
          <w:lang w:eastAsia="zh-CN"/>
        </w:rPr>
        <w:t>。</w:t>
      </w:r>
    </w:p>
    <w:p>
      <w:pPr>
        <w:keepNext w:val="0"/>
        <w:keepLines w:val="0"/>
        <w:widowControl/>
        <w:suppressLineNumbers w:val="0"/>
        <w:jc w:val="left"/>
        <w:rPr>
          <w:rFonts w:hint="eastAsia"/>
          <w:b w:val="0"/>
          <w:bCs w:val="0"/>
          <w:lang w:val="en-US" w:eastAsia="zh-CN"/>
        </w:rPr>
      </w:pPr>
      <w:r>
        <w:rPr>
          <w:rFonts w:hint="eastAsia"/>
          <w:b w:val="0"/>
          <w:bCs w:val="0"/>
          <w:lang w:val="en-US" w:eastAsia="zh-CN"/>
        </w:rPr>
        <w:t>片区为典型的丘陵地形，丘水相连，整体呈中间高两边低；植被较好，山水林田湖景观资源丰富，其中蟠龙河水库（蟠龙湖）水域面宽，水质好，有较高的生态景观游赏价值。一三产业基础良好，粮油生产发展稳定，有圣美园柑橘生猪现代农业产业园、宝林片区现代粮油园区、劳动枳壳现代农业园区3个县级园区。片区红色文化浓厚，禅修特色鲜明，有各级文保单位10项，</w:t>
      </w:r>
      <w:r>
        <w:rPr>
          <w:rFonts w:hint="eastAsia"/>
          <w:b w:val="0"/>
          <w:bCs w:val="0"/>
        </w:rPr>
        <w:t>突出文旅元素，大力培育发展红色文化旅游、禅修文化旅游、乡村特色旅游、生态康养旅游等业态，</w:t>
      </w:r>
      <w:bookmarkStart w:id="20" w:name="_Toc97037311"/>
      <w:bookmarkStart w:id="21" w:name="_Toc97037220"/>
      <w:bookmarkStart w:id="22" w:name="_Toc17555"/>
      <w:bookmarkStart w:id="23" w:name="_Toc99734376"/>
      <w:bookmarkStart w:id="24" w:name="_Toc5680"/>
      <w:bookmarkStart w:id="25" w:name="_Toc2912"/>
      <w:r>
        <w:rPr>
          <w:rFonts w:hint="eastAsia"/>
          <w:b w:val="0"/>
          <w:bCs w:val="0"/>
          <w:lang w:val="en-US" w:eastAsia="zh-CN"/>
        </w:rPr>
        <w:t>片区总体定位为以陈毅故里为引领，以礼佛禅修、丘区水乡康养休</w:t>
      </w:r>
      <w:r>
        <w:rPr>
          <w:rFonts w:hint="default"/>
          <w:b w:val="0"/>
          <w:bCs w:val="0"/>
          <w:lang w:val="en-US" w:eastAsia="zh-CN"/>
        </w:rPr>
        <w:t>闲为支撑的农文旅康高质量融合发展示范区</w:t>
      </w:r>
      <w:r>
        <w:rPr>
          <w:rFonts w:hint="eastAsia"/>
          <w:b w:val="0"/>
          <w:bCs w:val="0"/>
          <w:lang w:val="en-US" w:eastAsia="zh-CN"/>
        </w:rPr>
        <w:t>。</w:t>
      </w:r>
    </w:p>
    <w:p>
      <w:pPr>
        <w:keepNext w:val="0"/>
        <w:keepLines w:val="0"/>
        <w:widowControl/>
        <w:suppressLineNumbers w:val="0"/>
        <w:jc w:val="left"/>
        <w:rPr>
          <w:rFonts w:hint="eastAsia"/>
          <w:b w:val="0"/>
          <w:bCs w:val="0"/>
          <w:lang w:val="en-US" w:eastAsia="zh-CN"/>
        </w:rPr>
      </w:pPr>
      <w:r>
        <w:rPr>
          <w:rFonts w:hint="eastAsia"/>
          <w:b/>
          <w:bCs/>
          <w:lang w:val="en-US" w:eastAsia="zh-CN"/>
        </w:rPr>
        <w:t>1.</w:t>
      </w:r>
      <w:r>
        <w:rPr>
          <w:rFonts w:hint="eastAsia"/>
          <w:b/>
          <w:bCs/>
        </w:rPr>
        <w:t>安全生产</w:t>
      </w:r>
      <w:bookmarkEnd w:id="20"/>
      <w:bookmarkEnd w:id="21"/>
      <w:r>
        <w:rPr>
          <w:rFonts w:hint="eastAsia"/>
          <w:b/>
          <w:bCs/>
          <w:lang w:eastAsia="zh-CN"/>
        </w:rPr>
        <w:t>方面</w:t>
      </w:r>
      <w:bookmarkEnd w:id="22"/>
      <w:bookmarkEnd w:id="23"/>
      <w:bookmarkEnd w:id="24"/>
      <w:bookmarkEnd w:id="25"/>
      <w:r>
        <w:rPr>
          <w:rFonts w:hint="eastAsia"/>
          <w:b/>
          <w:bCs/>
          <w:lang w:eastAsia="zh-CN"/>
        </w:rPr>
        <w:t>。</w:t>
      </w:r>
      <w:r>
        <w:rPr>
          <w:rFonts w:hint="eastAsia"/>
          <w:b w:val="0"/>
          <w:bCs w:val="0"/>
        </w:rPr>
        <w:t>片区实有工商注册登记企业</w:t>
      </w:r>
      <w:r>
        <w:rPr>
          <w:rFonts w:hint="eastAsia"/>
          <w:b w:val="0"/>
          <w:bCs w:val="0"/>
          <w:lang w:val="en-US" w:eastAsia="zh-CN"/>
        </w:rPr>
        <w:t>302</w:t>
      </w:r>
      <w:r>
        <w:rPr>
          <w:rFonts w:hint="eastAsia"/>
          <w:b w:val="0"/>
          <w:bCs w:val="0"/>
        </w:rPr>
        <w:t>户</w:t>
      </w:r>
      <w:r>
        <w:rPr>
          <w:rFonts w:hint="eastAsia"/>
          <w:b w:val="0"/>
          <w:bCs w:val="0"/>
          <w:lang w:eastAsia="zh-CN"/>
        </w:rPr>
        <w:t>，</w:t>
      </w:r>
      <w:r>
        <w:rPr>
          <w:rFonts w:hint="eastAsia"/>
          <w:b w:val="0"/>
          <w:bCs w:val="0"/>
          <w:lang w:val="en-US" w:eastAsia="zh-CN"/>
        </w:rPr>
        <w:t>个体主体2001户</w:t>
      </w:r>
      <w:r>
        <w:rPr>
          <w:rFonts w:hint="eastAsia"/>
          <w:b w:val="0"/>
          <w:bCs w:val="0"/>
        </w:rPr>
        <w:t>。其中规模以上企业</w:t>
      </w:r>
      <w:r>
        <w:rPr>
          <w:rFonts w:hint="eastAsia"/>
          <w:b w:val="0"/>
          <w:bCs w:val="0"/>
          <w:lang w:val="en-US" w:eastAsia="zh-CN"/>
        </w:rPr>
        <w:t>2</w:t>
      </w:r>
      <w:r>
        <w:rPr>
          <w:rFonts w:hint="eastAsia"/>
          <w:b w:val="0"/>
          <w:bCs w:val="0"/>
        </w:rPr>
        <w:t>户</w:t>
      </w:r>
      <w:r>
        <w:rPr>
          <w:rFonts w:hint="eastAsia"/>
          <w:b w:val="0"/>
          <w:bCs w:val="0"/>
          <w:lang w:eastAsia="zh-CN"/>
        </w:rPr>
        <w:t>，</w:t>
      </w:r>
      <w:r>
        <w:rPr>
          <w:rFonts w:hint="eastAsia"/>
          <w:b w:val="0"/>
          <w:bCs w:val="0"/>
          <w:lang w:val="en-US" w:eastAsia="zh-CN"/>
        </w:rPr>
        <w:t>均为食品生产</w:t>
      </w:r>
      <w:r>
        <w:rPr>
          <w:rFonts w:hint="eastAsia"/>
          <w:b w:val="0"/>
          <w:bCs w:val="0"/>
        </w:rPr>
        <w:t>；非煤矿山企业</w:t>
      </w:r>
      <w:r>
        <w:rPr>
          <w:rFonts w:hint="eastAsia"/>
          <w:b w:val="0"/>
          <w:bCs w:val="0"/>
          <w:lang w:val="en-US" w:eastAsia="zh-CN"/>
        </w:rPr>
        <w:t>2</w:t>
      </w:r>
      <w:r>
        <w:rPr>
          <w:rFonts w:hint="eastAsia"/>
          <w:b w:val="0"/>
          <w:bCs w:val="0"/>
        </w:rPr>
        <w:t>户</w:t>
      </w:r>
      <w:r>
        <w:rPr>
          <w:rFonts w:hint="eastAsia"/>
          <w:b w:val="0"/>
          <w:bCs w:val="0"/>
          <w:lang w:eastAsia="zh-CN"/>
        </w:rPr>
        <w:t>，</w:t>
      </w:r>
      <w:r>
        <w:rPr>
          <w:rFonts w:hint="eastAsia"/>
          <w:b w:val="0"/>
          <w:bCs w:val="0"/>
          <w:lang w:val="en-US" w:eastAsia="zh-CN"/>
        </w:rPr>
        <w:t>标准化等级均为3级</w:t>
      </w:r>
      <w:r>
        <w:rPr>
          <w:rFonts w:hint="eastAsia"/>
          <w:b w:val="0"/>
          <w:bCs w:val="0"/>
        </w:rPr>
        <w:t>；</w:t>
      </w:r>
      <w:r>
        <w:rPr>
          <w:rFonts w:hint="eastAsia"/>
          <w:b w:val="0"/>
          <w:bCs w:val="0"/>
          <w:lang w:val="en-US" w:eastAsia="zh-CN"/>
        </w:rPr>
        <w:t>加油站2</w:t>
      </w:r>
      <w:r>
        <w:rPr>
          <w:rFonts w:hint="eastAsia"/>
          <w:b w:val="0"/>
          <w:bCs w:val="0"/>
        </w:rPr>
        <w:t>家；烟花爆竹</w:t>
      </w:r>
      <w:r>
        <w:rPr>
          <w:rFonts w:hint="eastAsia"/>
          <w:b w:val="0"/>
          <w:bCs w:val="0"/>
          <w:lang w:val="en-US" w:eastAsia="zh-CN"/>
        </w:rPr>
        <w:t>经营（批发+仓库）1个</w:t>
      </w:r>
      <w:r>
        <w:rPr>
          <w:rFonts w:hint="eastAsia"/>
          <w:b w:val="0"/>
          <w:bCs w:val="0"/>
        </w:rPr>
        <w:t>；</w:t>
      </w:r>
      <w:r>
        <w:rPr>
          <w:rFonts w:hint="eastAsia"/>
          <w:b w:val="0"/>
          <w:bCs w:val="0"/>
          <w:lang w:val="en-US" w:eastAsia="zh-CN"/>
        </w:rPr>
        <w:t>自来水厂1家，建材厂2家，</w:t>
      </w:r>
      <w:r>
        <w:rPr>
          <w:rFonts w:hint="eastAsia"/>
          <w:b w:val="0"/>
          <w:bCs w:val="0"/>
        </w:rPr>
        <w:t>具有资质等级的总承包和专业承包建筑业企业</w:t>
      </w:r>
      <w:r>
        <w:rPr>
          <w:rFonts w:hint="eastAsia"/>
          <w:b w:val="0"/>
          <w:bCs w:val="0"/>
          <w:lang w:val="en-US" w:eastAsia="zh-CN"/>
        </w:rPr>
        <w:t>5</w:t>
      </w:r>
      <w:r>
        <w:rPr>
          <w:rFonts w:hint="eastAsia"/>
          <w:b w:val="0"/>
          <w:bCs w:val="0"/>
        </w:rPr>
        <w:t>户；有公路运输企业</w:t>
      </w:r>
      <w:r>
        <w:rPr>
          <w:rFonts w:hint="eastAsia"/>
          <w:b w:val="0"/>
          <w:bCs w:val="0"/>
          <w:lang w:val="en-US" w:eastAsia="zh-CN"/>
        </w:rPr>
        <w:t>1</w:t>
      </w:r>
      <w:r>
        <w:rPr>
          <w:rFonts w:hint="eastAsia"/>
          <w:b w:val="0"/>
          <w:bCs w:val="0"/>
        </w:rPr>
        <w:t>家</w:t>
      </w:r>
      <w:r>
        <w:rPr>
          <w:b w:val="0"/>
          <w:bCs w:val="0"/>
        </w:rPr>
        <w:t>。</w:t>
      </w:r>
      <w:r>
        <w:rPr>
          <w:rFonts w:hint="eastAsia"/>
          <w:b w:val="0"/>
          <w:bCs w:val="0"/>
          <w:lang w:val="en-US" w:eastAsia="zh-CN"/>
        </w:rPr>
        <w:t>片区3年期间发生建设（生产）安全事故2起，死亡人数2人。</w:t>
      </w:r>
    </w:p>
    <w:p>
      <w:pPr>
        <w:pStyle w:val="4"/>
        <w:keepNext/>
        <w:keepLines w:val="0"/>
        <w:pageBreakBefore w:val="0"/>
        <w:widowControl w:val="0"/>
        <w:kinsoku/>
        <w:wordWrap/>
        <w:overflowPunct/>
        <w:topLinePunct w:val="0"/>
        <w:autoSpaceDE/>
        <w:autoSpaceDN/>
        <w:bidi w:val="0"/>
        <w:adjustRightInd/>
        <w:snapToGrid/>
        <w:ind w:firstLine="643"/>
        <w:textAlignment w:val="auto"/>
        <w:rPr>
          <w:b w:val="0"/>
          <w:bCs w:val="0"/>
        </w:rPr>
      </w:pPr>
      <w:r>
        <w:rPr>
          <w:rFonts w:hint="eastAsia"/>
          <w:b w:val="0"/>
          <w:bCs w:val="0"/>
          <w:lang w:val="en-US" w:eastAsia="zh-CN"/>
        </w:rPr>
        <w:t>风险隐患整治情况。</w:t>
      </w:r>
      <w:r>
        <w:rPr>
          <w:rFonts w:hint="eastAsia"/>
          <w:b w:val="0"/>
          <w:bCs w:val="0"/>
        </w:rPr>
        <w:t>建立“清单制+责任制+例会制+挂牌销号制”和一周一调度、一月一督查通报、两月一主题宣传、一季一专题推进、半年一巡查督导、一年一深化总结的“六个一工作机制”，进一步完善责任体系、明确目标任务、推动工作落实。自2019年以来，片区开展安全生产专项整治集中大检查3次，专项排查30余次，确保高危（高风险）行业企业一个不漏，100%覆盖，检查企事业单位805家，共排查安全隐患422处，已整改405处，打击非法违法行为8879起，整治违规违章行为129起，通过专项整治，确保各类风险隐患得到有效管控，彻底解决问题隐患反复发生、长期得不到根治的重点问题。</w:t>
      </w:r>
    </w:p>
    <w:p>
      <w:pPr>
        <w:pStyle w:val="4"/>
        <w:ind w:firstLine="643"/>
        <w:rPr>
          <w:b w:val="0"/>
          <w:bCs w:val="0"/>
        </w:rPr>
      </w:pPr>
      <w:bookmarkStart w:id="26" w:name="_Toc11232"/>
      <w:bookmarkStart w:id="27" w:name="_Toc99734377"/>
      <w:bookmarkStart w:id="28" w:name="_Toc20341"/>
      <w:bookmarkStart w:id="29" w:name="_Toc28146"/>
      <w:r>
        <w:rPr>
          <w:rFonts w:hint="eastAsia"/>
          <w:b/>
          <w:bCs/>
          <w:lang w:val="en-US" w:eastAsia="zh-CN"/>
        </w:rPr>
        <w:t>2.</w:t>
      </w:r>
      <w:r>
        <w:rPr>
          <w:rFonts w:hint="eastAsia"/>
          <w:b/>
          <w:bCs/>
        </w:rPr>
        <w:t>自然灾害</w:t>
      </w:r>
      <w:bookmarkEnd w:id="26"/>
      <w:bookmarkEnd w:id="27"/>
      <w:bookmarkEnd w:id="28"/>
      <w:bookmarkEnd w:id="29"/>
      <w:r>
        <w:rPr>
          <w:rFonts w:hint="eastAsia"/>
          <w:b/>
          <w:bCs/>
          <w:lang w:eastAsia="zh-CN"/>
        </w:rPr>
        <w:t>方面。</w:t>
      </w:r>
      <w:bookmarkStart w:id="30" w:name="_Toc3662"/>
      <w:bookmarkStart w:id="31" w:name="_Toc32703"/>
      <w:bookmarkStart w:id="32" w:name="_Toc11082"/>
      <w:bookmarkStart w:id="33" w:name="_Toc99734378"/>
      <w:r>
        <w:rPr>
          <w:rFonts w:hint="eastAsia"/>
          <w:b w:val="0"/>
          <w:bCs w:val="0"/>
        </w:rPr>
        <w:t>片</w:t>
      </w:r>
      <w:r>
        <w:rPr>
          <w:rFonts w:hint="eastAsia"/>
          <w:b w:val="0"/>
          <w:bCs w:val="0"/>
          <w:lang w:eastAsia="zh-CN"/>
        </w:rPr>
        <w:t>区</w:t>
      </w:r>
      <w:r>
        <w:rPr>
          <w:rFonts w:hint="eastAsia"/>
          <w:b w:val="0"/>
          <w:bCs w:val="0"/>
        </w:rPr>
        <w:t>主要灾种</w:t>
      </w:r>
      <w:r>
        <w:rPr>
          <w:rFonts w:hint="eastAsia"/>
          <w:b w:val="0"/>
          <w:bCs w:val="0"/>
          <w:lang w:eastAsia="zh-CN"/>
        </w:rPr>
        <w:t>为</w:t>
      </w:r>
      <w:r>
        <w:rPr>
          <w:rFonts w:hint="eastAsia"/>
          <w:b w:val="0"/>
          <w:bCs w:val="0"/>
          <w:highlight w:val="none"/>
        </w:rPr>
        <w:t>洪涝、</w:t>
      </w:r>
      <w:r>
        <w:rPr>
          <w:rFonts w:hint="eastAsia"/>
          <w:b w:val="0"/>
          <w:bCs w:val="0"/>
          <w:highlight w:val="none"/>
          <w:lang w:val="en-US" w:eastAsia="zh-CN"/>
        </w:rPr>
        <w:t>滑坡、干旱、森林火灾4</w:t>
      </w:r>
      <w:r>
        <w:rPr>
          <w:rFonts w:hint="eastAsia"/>
          <w:b w:val="0"/>
          <w:bCs w:val="0"/>
          <w:highlight w:val="none"/>
        </w:rPr>
        <w:t>种，次要灾种是低温冷冻灾害、风雹灾害，因受气候影响，年度自然灾害发生种类和受灾程</w:t>
      </w:r>
      <w:r>
        <w:rPr>
          <w:rFonts w:hint="eastAsia"/>
          <w:b w:val="0"/>
          <w:bCs w:val="0"/>
        </w:rPr>
        <w:t>度不同。</w:t>
      </w:r>
    </w:p>
    <w:p>
      <w:pPr>
        <w:pStyle w:val="4"/>
        <w:keepNext/>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b w:val="0"/>
          <w:bCs w:val="0"/>
          <w:lang w:val="en-US" w:eastAsia="zh-CN"/>
        </w:rPr>
      </w:pPr>
      <w:r>
        <w:rPr>
          <w:rFonts w:hint="eastAsia"/>
          <w:b w:val="0"/>
          <w:bCs w:val="0"/>
        </w:rPr>
        <w:t>洪</w:t>
      </w:r>
      <w:r>
        <w:rPr>
          <w:rFonts w:hint="eastAsia"/>
          <w:b w:val="0"/>
          <w:bCs w:val="0"/>
          <w:lang w:eastAsia="zh-CN"/>
        </w:rPr>
        <w:t>涝</w:t>
      </w:r>
      <w:r>
        <w:rPr>
          <w:rFonts w:hint="eastAsia"/>
          <w:b w:val="0"/>
          <w:bCs w:val="0"/>
        </w:rPr>
        <w:t>情况</w:t>
      </w:r>
      <w:r>
        <w:rPr>
          <w:rFonts w:hint="eastAsia"/>
          <w:b w:val="0"/>
          <w:bCs w:val="0"/>
          <w:lang w:eastAsia="zh-CN"/>
        </w:rPr>
        <w:t>。片区</w:t>
      </w:r>
      <w:r>
        <w:rPr>
          <w:rFonts w:hint="eastAsia"/>
          <w:b w:val="0"/>
          <w:bCs w:val="0"/>
          <w:lang w:val="en-US" w:eastAsia="zh-CN"/>
        </w:rPr>
        <w:t>水网密布，主要流经有琼江河、阳化河、大蒙溪河、岔岔河、石洞溪、蟠龙河等河流，洪涝灾害每年易发多发频率较高，损失较重，仅2021年受灾人口5629人，直接经济损失285.45万元。山洪灾害危险区22处（蟠龙镇7处、龙门镇5处、石佛镇4处、宝林镇3处、劳动镇3处），受威胁人口1200余人；水库20座，除石佛镇金龙井水库为砌石重力坝外，其余19座为均质土坝，已完成除险加固13座，正在进行除险加固6座。2021年6月前全部水库均完成安全评价，评价/鉴定结论为一类坝1个，二类坝2个，三类坝17个。2021年，片区洪涝灾害受灾人口为5629人，造成直接经济损失285.45万元。</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default"/>
          <w:b w:val="0"/>
          <w:bCs w:val="0"/>
          <w:highlight w:val="yellow"/>
          <w:lang w:val="en-US" w:eastAsia="zh-CN"/>
        </w:rPr>
      </w:pPr>
      <w:r>
        <w:rPr>
          <w:rFonts w:hint="eastAsia"/>
          <w:b w:val="0"/>
          <w:bCs w:val="0"/>
          <w:color w:val="auto"/>
          <w:highlight w:val="none"/>
          <w:lang w:val="en-US" w:eastAsia="zh-CN"/>
        </w:rPr>
        <w:t>滑坡情况。</w:t>
      </w:r>
      <w:r>
        <w:rPr>
          <w:rFonts w:hint="eastAsia"/>
          <w:b w:val="0"/>
          <w:bCs w:val="0"/>
          <w:lang w:val="en-US" w:eastAsia="zh-CN"/>
        </w:rPr>
        <w:t>中部深丘区海拔高于450米，北部中丘区海拔400米-500米，南部浅丘区海拔低于400米。</w:t>
      </w:r>
      <w:r>
        <w:rPr>
          <w:rFonts w:hint="eastAsia"/>
          <w:lang w:val="en-US" w:eastAsia="zh-CN"/>
        </w:rPr>
        <w:t>各镇之间仅有的四级公路多弯道陡坡</w:t>
      </w:r>
      <w:r>
        <w:rPr>
          <w:rFonts w:hint="eastAsia"/>
          <w:b w:val="0"/>
          <w:bCs w:val="0"/>
          <w:lang w:val="en-US" w:eastAsia="zh-CN"/>
        </w:rPr>
        <w:t>，每年6-9月斜坡类地质灾害发生频率较高。</w:t>
      </w:r>
    </w:p>
    <w:p>
      <w:pPr>
        <w:keepNext w:val="0"/>
        <w:keepLines w:val="0"/>
        <w:widowControl/>
        <w:suppressLineNumbers w:val="0"/>
        <w:jc w:val="left"/>
        <w:rPr>
          <w:rFonts w:hint="eastAsia"/>
          <w:b w:val="0"/>
          <w:bCs w:val="0"/>
          <w:lang w:val="en-US" w:eastAsia="zh-CN"/>
        </w:rPr>
      </w:pPr>
      <w:r>
        <w:rPr>
          <w:rFonts w:hint="eastAsia"/>
          <w:b w:val="0"/>
          <w:bCs w:val="0"/>
          <w:lang w:val="en-US" w:eastAsia="zh-CN"/>
        </w:rPr>
        <w:t>旱灾情况。片区季节性干旱常有发生，有些年份还发生过春夏连旱、伏秋连旱等情况。片区灌溉用水短缺，蓄水</w:t>
      </w:r>
      <w:r>
        <w:rPr>
          <w:rFonts w:hint="default"/>
          <w:b w:val="0"/>
          <w:bCs w:val="0"/>
          <w:lang w:val="en-US" w:eastAsia="zh-CN"/>
        </w:rPr>
        <w:t>和提灌设施能力不足</w:t>
      </w:r>
      <w:r>
        <w:rPr>
          <w:rFonts w:hint="eastAsia"/>
          <w:b w:val="0"/>
          <w:bCs w:val="0"/>
          <w:lang w:val="en-US" w:eastAsia="zh-CN"/>
        </w:rPr>
        <w:t>，灌排设施普遍年老失修，宝林镇、龙门镇较为突出。</w:t>
      </w:r>
    </w:p>
    <w:p>
      <w:pPr>
        <w:pStyle w:val="7"/>
        <w:rPr>
          <w:rFonts w:hint="default" w:ascii="仿宋" w:hAnsi="仿宋" w:eastAsia="仿宋" w:cs="仿宋"/>
          <w:sz w:val="32"/>
          <w:szCs w:val="32"/>
          <w:highlight w:val="none"/>
          <w:lang w:val="en-US"/>
        </w:rPr>
      </w:pPr>
      <w:r>
        <w:rPr>
          <w:rFonts w:hint="eastAsia" w:ascii="仿宋" w:hAnsi="仿宋" w:eastAsia="仿宋" w:cs="仿宋"/>
          <w:b w:val="0"/>
          <w:bCs w:val="0"/>
          <w:sz w:val="32"/>
          <w:szCs w:val="32"/>
          <w:highlight w:val="none"/>
          <w:lang w:val="en-US" w:eastAsia="zh-CN"/>
        </w:rPr>
        <w:t>森林火情。较重以上森林防火区域24个，总面积约690余亩。主要分布为石佛镇10个、龙门镇7个、蟠龙镇5个、劳动镇2个，其中龙门镇的白龙村、报国村，劳动镇的旧居村为县域重点防火区域。片区内近三年未发生森林火灾。</w:t>
      </w:r>
    </w:p>
    <w:bookmarkEnd w:id="30"/>
    <w:bookmarkEnd w:id="31"/>
    <w:bookmarkEnd w:id="32"/>
    <w:p>
      <w:pPr>
        <w:pStyle w:val="4"/>
        <w:ind w:left="0" w:leftChars="0" w:firstLine="643" w:firstLineChars="200"/>
        <w:rPr>
          <w:rFonts w:hint="default"/>
          <w:b w:val="0"/>
          <w:bCs w:val="0"/>
          <w:lang w:val="en-US" w:eastAsia="zh-CN"/>
        </w:rPr>
      </w:pPr>
      <w:r>
        <w:rPr>
          <w:rFonts w:hint="eastAsia"/>
          <w:b/>
          <w:bCs/>
          <w:lang w:val="en-US" w:eastAsia="zh-CN"/>
        </w:rPr>
        <w:t>3.</w:t>
      </w:r>
      <w:r>
        <w:rPr>
          <w:b/>
          <w:bCs/>
        </w:rPr>
        <w:t>应急能力</w:t>
      </w:r>
      <w:r>
        <w:rPr>
          <w:rFonts w:hint="eastAsia"/>
          <w:b/>
          <w:bCs/>
          <w:lang w:eastAsia="zh-CN"/>
        </w:rPr>
        <w:t>方面</w:t>
      </w:r>
      <w:bookmarkEnd w:id="33"/>
      <w:r>
        <w:rPr>
          <w:rFonts w:hint="eastAsia"/>
          <w:b/>
          <w:bCs/>
          <w:lang w:eastAsia="zh-CN"/>
        </w:rPr>
        <w:t>。</w:t>
      </w:r>
      <w:r>
        <w:rPr>
          <w:rFonts w:hint="eastAsia"/>
          <w:b w:val="0"/>
          <w:bCs w:val="0"/>
          <w:lang w:val="en-US" w:eastAsia="zh-CN"/>
        </w:rPr>
        <w:t>片区乡镇均建立以党政主要领导任指挥长，分管领导任常务副指挥长，其他领导任副指挥长，以村（社区）主要领导等为成员的乡镇应急指挥部（应急指挥领导小组）。</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b w:val="0"/>
          <w:bCs w:val="0"/>
          <w:lang w:val="en-US" w:eastAsia="zh-CN"/>
        </w:rPr>
      </w:pPr>
      <w:r>
        <w:rPr>
          <w:rFonts w:hint="eastAsia"/>
          <w:b w:val="0"/>
          <w:bCs w:val="0"/>
          <w:lang w:val="en-US" w:eastAsia="zh-CN"/>
        </w:rPr>
        <w:t>预案管理情况。各镇均编制有综合应急预案1</w:t>
      </w:r>
      <w:r>
        <w:rPr>
          <w:rFonts w:hint="eastAsia"/>
          <w:b w:val="0"/>
          <w:bCs w:val="0"/>
          <w:color w:val="auto"/>
          <w:u w:val="none"/>
          <w:lang w:val="en-US" w:eastAsia="zh-CN"/>
        </w:rPr>
        <w:t>个</w:t>
      </w:r>
      <w:r>
        <w:rPr>
          <w:rFonts w:hint="eastAsia"/>
          <w:b w:val="0"/>
          <w:bCs w:val="0"/>
          <w:u w:val="none"/>
          <w:lang w:val="en-US" w:eastAsia="zh-CN"/>
        </w:rPr>
        <w:t>，专项应急预案</w:t>
      </w:r>
      <w:r>
        <w:rPr>
          <w:rFonts w:hint="eastAsia"/>
          <w:b w:val="0"/>
          <w:bCs w:val="0"/>
          <w:color w:val="auto"/>
          <w:u w:val="none"/>
          <w:lang w:val="en-US" w:eastAsia="zh-CN"/>
        </w:rPr>
        <w:t>16个。村社、企业、学校、医院等都编制有相应的专项应急预案。</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b w:val="0"/>
          <w:bCs w:val="0"/>
          <w:lang w:val="en-US" w:eastAsia="zh-CN"/>
        </w:rPr>
      </w:pPr>
      <w:r>
        <w:rPr>
          <w:rFonts w:hint="eastAsia"/>
          <w:b w:val="0"/>
          <w:bCs w:val="0"/>
          <w:lang w:val="en-US" w:eastAsia="zh-CN"/>
        </w:rPr>
        <w:t>救援队伍情况。片区建有乡镇专职消防队（点）3个（劳动镇和石佛镇专职消防队、龙门镇专职消防执勤点），5个镇均</w:t>
      </w:r>
      <w:r>
        <w:rPr>
          <w:rFonts w:hint="eastAsia"/>
          <w:lang w:val="en-US" w:eastAsia="zh-CN"/>
        </w:rPr>
        <w:t>已建成30人以上乡镇应急救援队和10人以上村（社区）应急救援分队，片区“一主两辅”基层应急力量体系基本形成。建有灾害信息员71名，信息传递和网格化管理网络基本构成。</w:t>
      </w:r>
    </w:p>
    <w:p>
      <w:pPr>
        <w:rPr>
          <w:rFonts w:hint="default" w:eastAsia="仿宋"/>
          <w:b w:val="0"/>
          <w:bCs w:val="0"/>
          <w:lang w:val="en-US" w:eastAsia="zh-CN"/>
        </w:rPr>
      </w:pPr>
      <w:r>
        <w:rPr>
          <w:rFonts w:hint="eastAsia"/>
          <w:b w:val="0"/>
          <w:bCs w:val="0"/>
        </w:rPr>
        <w:t>避难场所情况</w:t>
      </w:r>
      <w:r>
        <w:rPr>
          <w:rFonts w:hint="eastAsia"/>
          <w:b w:val="0"/>
          <w:bCs w:val="0"/>
          <w:lang w:eastAsia="zh-CN"/>
        </w:rPr>
        <w:t>。</w:t>
      </w:r>
      <w:r>
        <w:rPr>
          <w:rFonts w:hint="eastAsia"/>
          <w:b w:val="0"/>
          <w:bCs w:val="0"/>
          <w:lang w:val="en-US" w:eastAsia="zh-CN"/>
        </w:rPr>
        <w:t>片区各镇依托广场、学校、办公场地等，设置规范化应急避难场所8处，面积7140平方米、可容纳7000余人；临时应急避难场所27处，面积14140平方米，可容纳14000余人。</w:t>
      </w:r>
    </w:p>
    <w:p>
      <w:pPr>
        <w:rPr>
          <w:rFonts w:hint="default"/>
          <w:u w:val="single"/>
          <w:lang w:val="en-US" w:eastAsia="zh-CN"/>
        </w:rPr>
      </w:pPr>
      <w:r>
        <w:rPr>
          <w:rFonts w:hint="eastAsia"/>
          <w:b w:val="0"/>
          <w:bCs w:val="0"/>
          <w:lang w:val="en-US" w:eastAsia="zh-CN"/>
        </w:rPr>
        <w:t>物资储备情况。片区共有5个镇级物资储备库，储备有抢险救援装备和救灾物资1.5万余件，主要为：冲锋衣、编织袋、抽水泵、大军锹、担架、迷彩服、风力灭火机、过滤式呼吸器、割灌机、灭火扫把、长柄砍刀、无人机、棉衣棉被、帐篷等。</w:t>
      </w:r>
    </w:p>
    <w:p>
      <w:pPr>
        <w:pStyle w:val="2"/>
        <w:keepNext/>
        <w:keepLines/>
        <w:pageBreakBefore w:val="0"/>
        <w:widowControl w:val="0"/>
        <w:numPr>
          <w:ilvl w:val="0"/>
          <w:numId w:val="0"/>
        </w:numPr>
        <w:kinsoku/>
        <w:wordWrap/>
        <w:overflowPunct/>
        <w:topLinePunct w:val="0"/>
        <w:autoSpaceDE/>
        <w:autoSpaceDN/>
        <w:bidi w:val="0"/>
        <w:adjustRightInd/>
        <w:snapToGrid/>
        <w:spacing w:before="313" w:beforeLines="100"/>
        <w:ind w:firstLine="643" w:firstLineChars="200"/>
        <w:jc w:val="both"/>
        <w:textAlignment w:val="auto"/>
        <w:rPr>
          <w:rFonts w:hint="eastAsia"/>
          <w:b/>
          <w:bCs w:val="0"/>
          <w:lang w:val="en-US" w:eastAsia="zh-CN"/>
        </w:rPr>
      </w:pPr>
      <w:bookmarkStart w:id="34" w:name="_Toc23064"/>
      <w:r>
        <w:rPr>
          <w:rFonts w:hint="eastAsia"/>
          <w:b/>
          <w:bCs w:val="0"/>
          <w:lang w:val="en-US" w:eastAsia="zh-CN"/>
        </w:rPr>
        <w:t>（二）面临形势</w:t>
      </w:r>
      <w:bookmarkEnd w:id="34"/>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b/>
          <w:bCs/>
          <w:lang w:val="en-US" w:eastAsia="zh-CN"/>
        </w:rPr>
      </w:pPr>
      <w:r>
        <w:rPr>
          <w:rFonts w:hint="eastAsia"/>
          <w:b/>
          <w:bCs/>
          <w:lang w:val="en-US" w:eastAsia="zh-CN"/>
        </w:rPr>
        <w:t>1.安全生产形势</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lang w:val="en-US" w:eastAsia="zh-CN"/>
        </w:rPr>
      </w:pPr>
      <w:r>
        <w:rPr>
          <w:rFonts w:hint="eastAsia"/>
          <w:lang w:val="en-US" w:eastAsia="zh-CN"/>
        </w:rPr>
        <w:t>企业安全方面，片区虽然高危行业少、企业数量少，生产规模小，但各类安全风险依然存在且不断加大。比如，烟花爆竹生产储存、民爆仓库存在燃爆风险；非煤矿山存在取土场坍塌、机械伤害、物体打击等事故风险。企业信息化建设滞后，目前仅烟花爆竹生产企业、民爆仓库接入县安全监管平台；同时，随着文旅建设项目增加，工程建设领域风险不断加大。</w:t>
      </w:r>
    </w:p>
    <w:p>
      <w:pPr>
        <w:rPr>
          <w:rFonts w:hint="default"/>
          <w:lang w:val="en-US" w:eastAsia="zh-CN"/>
        </w:rPr>
      </w:pPr>
      <w:r>
        <w:rPr>
          <w:rFonts w:hint="eastAsia"/>
          <w:lang w:val="en-US" w:eastAsia="zh-CN"/>
        </w:rPr>
        <w:t>交通运输方面。片区内道路等级不高，且多弯道陡坡、多临崖临水，四级公路占89.07%，三级及以下公路占比92.45%，高等级公路占比仅为7.55%，低于11.4%的全省平均水平。</w:t>
      </w:r>
    </w:p>
    <w:p>
      <w:pPr>
        <w:pStyle w:val="6"/>
        <w:keepNext w:val="0"/>
        <w:keepLines w:val="0"/>
        <w:pageBreakBefore w:val="0"/>
        <w:widowControl w:val="0"/>
        <w:kinsoku/>
        <w:wordWrap/>
        <w:overflowPunct/>
        <w:topLinePunct w:val="0"/>
        <w:autoSpaceDE/>
        <w:autoSpaceDN/>
        <w:bidi w:val="0"/>
        <w:adjustRightInd/>
        <w:snapToGrid/>
        <w:spacing w:after="0"/>
        <w:textAlignment w:val="auto"/>
        <w:rPr>
          <w:rFonts w:hint="eastAsia"/>
          <w:lang w:val="en-US" w:eastAsia="zh-CN"/>
        </w:rPr>
      </w:pPr>
      <w:r>
        <w:rPr>
          <w:rFonts w:hint="eastAsia"/>
          <w:highlight w:val="none"/>
          <w:lang w:val="en-US" w:eastAsia="zh-CN"/>
        </w:rPr>
        <w:t>城乡火灾方面。近年来</w:t>
      </w:r>
      <w:r>
        <w:rPr>
          <w:rFonts w:hint="eastAsia"/>
          <w:lang w:val="en-US" w:eastAsia="zh-CN"/>
        </w:rPr>
        <w:t>劳动镇建筑质量参差不齐，新旧相掺，建筑屋顶混乱，大量居民在楼顶搭建蓝色玻纤瓦棚，大风天气存在较大安全隐患。宝林镇北部老区建筑质量较差，老街两侧木房与现代建筑交错分布，存在火灾隐患。</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ind w:firstLine="643" w:firstLineChars="200"/>
        <w:textAlignment w:val="auto"/>
        <w:rPr>
          <w:rFonts w:hint="default"/>
          <w:b w:val="0"/>
          <w:bCs w:val="0"/>
          <w:lang w:val="en-US" w:eastAsia="zh-CN"/>
        </w:rPr>
      </w:pPr>
      <w:r>
        <w:rPr>
          <w:rFonts w:hint="eastAsia"/>
          <w:b/>
          <w:bCs/>
          <w:lang w:val="en-US" w:eastAsia="zh-CN"/>
        </w:rPr>
        <w:t>2.自然灾害形势。</w:t>
      </w:r>
      <w:r>
        <w:rPr>
          <w:rFonts w:hint="eastAsia"/>
          <w:b w:val="0"/>
          <w:bCs w:val="0"/>
          <w:lang w:val="en-US" w:eastAsia="zh-CN"/>
        </w:rPr>
        <w:t>片区自然灾害区域特征明显，劳动镇、龙门镇、石佛镇林地集中连片，易发生森林火灾；石佛镇、蟠龙镇处于浅丘地区，河流较多，易发生洪涝灾害；宝林镇处于中部深丘，地形地势较复杂，易发生地质灾害。</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eastAsia"/>
          <w:lang w:val="en-US" w:eastAsia="zh-CN"/>
        </w:rPr>
      </w:pPr>
      <w:r>
        <w:rPr>
          <w:rFonts w:hint="eastAsia"/>
          <w:lang w:val="en-US" w:eastAsia="zh-CN"/>
        </w:rPr>
        <w:t>洪涝灾害方面。洪涝灾害为片区主要灾害，在本片区以种植业为主导产业的背景下，洪涝灾害风险更显突出。片区防洪堤仅有不到3公里，防洪标准为10年一遇，防汛排涝设施设备不足。科学预警及群防群测体系尚不完善，科学高效的智能化控制及监控系统仍需提升。洪涝灾害隐患点较多，隐患威胁较大，隐患点未得到彻底整治。</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default"/>
          <w:lang w:val="en-US" w:eastAsia="zh-CN"/>
        </w:rPr>
      </w:pPr>
      <w:r>
        <w:rPr>
          <w:rFonts w:hint="eastAsia"/>
          <w:b w:val="0"/>
          <w:bCs w:val="0"/>
          <w:lang w:val="en-US" w:eastAsia="zh-CN"/>
        </w:rPr>
        <w:t>地质灾害方面。片区有地质灾害隐患点6处，其中滑坡1处、崩塌（危岩）5处，威胁群</w:t>
      </w:r>
      <w:r>
        <w:rPr>
          <w:rFonts w:hint="eastAsia"/>
          <w:b w:val="0"/>
          <w:bCs w:val="0"/>
          <w:highlight w:val="none"/>
          <w:lang w:val="en-US" w:eastAsia="zh-CN"/>
        </w:rPr>
        <w:t>众7户18人。</w:t>
      </w:r>
      <w:r>
        <w:rPr>
          <w:rFonts w:hint="eastAsia"/>
          <w:b w:val="0"/>
          <w:bCs w:val="0"/>
          <w:lang w:val="en-US" w:eastAsia="zh-CN"/>
        </w:rPr>
        <w:t>划定8片灾害防治区，其中次重点防治区7片，总面积24.16平方公里，一般防治区1片，总面积287.45平方公里。</w:t>
      </w:r>
    </w:p>
    <w:p>
      <w:pPr>
        <w:rPr>
          <w:rFonts w:hint="default"/>
          <w:lang w:val="en-US" w:eastAsia="zh-CN"/>
        </w:rPr>
      </w:pPr>
      <w:r>
        <w:rPr>
          <w:rFonts w:hint="eastAsia"/>
          <w:lang w:val="en-US" w:eastAsia="zh-CN"/>
        </w:rPr>
        <w:t>森林火灾方面。片区植被较好，连片林地、公益林地、湿地、陆地水域等地区总面积220.76平方公里，占全域总面44.19% 。</w:t>
      </w:r>
      <w:r>
        <w:rPr>
          <w:rFonts w:hint="eastAsia"/>
          <w:highlight w:val="none"/>
          <w:lang w:val="en-US" w:eastAsia="zh-CN"/>
        </w:rPr>
        <w:t>重点和较重森林防火区域共有取水点24处，</w:t>
      </w:r>
      <w:r>
        <w:rPr>
          <w:rFonts w:hint="eastAsia"/>
          <w:lang w:val="en-US" w:eastAsia="zh-CN"/>
        </w:rPr>
        <w:t>其中14处取水点为水库、蓄水池及河道，4处为水田，其余6处无取水点，有一定的森林火灾隐患。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b/>
          <w:bCs/>
          <w:lang w:val="en-US" w:eastAsia="zh-CN"/>
        </w:rPr>
      </w:pPr>
      <w:r>
        <w:rPr>
          <w:rFonts w:hint="eastAsia"/>
          <w:b/>
          <w:bCs/>
          <w:lang w:val="en-US" w:eastAsia="zh-CN"/>
        </w:rPr>
        <w:t>3.应急能力形势。</w:t>
      </w:r>
      <w:r>
        <w:rPr>
          <w:rFonts w:hint="eastAsia"/>
          <w:b w:val="0"/>
          <w:bCs w:val="0"/>
          <w:lang w:val="en-US" w:eastAsia="zh-CN"/>
        </w:rPr>
        <w:t>片区应急管理工作和能力建设任务较重，难度较大。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b w:val="0"/>
          <w:bCs w:val="0"/>
          <w:highlight w:val="none"/>
          <w:lang w:val="en-US" w:eastAsia="zh-CN"/>
        </w:rPr>
        <w:t>救援队伍方面。</w:t>
      </w:r>
      <w:r>
        <w:rPr>
          <w:rFonts w:hint="eastAsia"/>
          <w:lang w:val="en-US" w:eastAsia="zh-CN"/>
        </w:rPr>
        <w:t>建立的专兼职结合的基层灾害信息员队伍水平参差不齐，</w:t>
      </w:r>
      <w:r>
        <w:rPr>
          <w:rFonts w:hint="eastAsia"/>
          <w:b w:val="0"/>
          <w:bCs w:val="0"/>
          <w:lang w:val="en-US" w:eastAsia="zh-CN"/>
        </w:rPr>
        <w:t>缺乏专业化力量</w:t>
      </w:r>
      <w:r>
        <w:rPr>
          <w:rFonts w:hint="eastAsia"/>
          <w:lang w:val="en-US" w:eastAsia="zh-CN"/>
        </w:rPr>
        <w:t>。在现有应急队伍中，应急救援队伍建成晚，多数救援队伍规模小且分散，参加过的培训和演练少，且未经过专业的技能训练，缺乏相关专业知识、技能和经验。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highlight w:val="none"/>
          <w:lang w:val="en-US" w:eastAsia="zh-CN"/>
        </w:rPr>
        <w:t>应急预案方面。应急预案修订完善不够及时，且大多缺乏针对性和可操作性，“上下一般粗”的问题还比较普遍。针对应急预案的宣传、培训和演练力度不大，实效性不强，应</w:t>
      </w:r>
      <w:r>
        <w:rPr>
          <w:rFonts w:hint="eastAsia"/>
          <w:lang w:val="en-US" w:eastAsia="zh-CN"/>
        </w:rPr>
        <w:t>急救援的准备和能力不足。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eastAsia"/>
          <w:highlight w:val="none"/>
          <w:lang w:val="en-US" w:eastAsia="zh-CN"/>
        </w:rPr>
        <w:t>协调联动方面。片区各镇应急队伍的协同合作机制尚未建立，应急管理工作统筹协调性不强，应急力量相对独立，没有形成系统化的应急调度机制。应急</w:t>
      </w:r>
      <w:r>
        <w:rPr>
          <w:rFonts w:hint="eastAsia"/>
          <w:lang w:val="en-US" w:eastAsia="zh-CN"/>
        </w:rPr>
        <w:t>部门与消防部门联动性不强。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lang w:val="en-US" w:eastAsia="zh-CN"/>
        </w:rPr>
      </w:pPr>
      <w:r>
        <w:rPr>
          <w:rFonts w:hint="eastAsia"/>
          <w:b/>
          <w:bCs/>
          <w:highlight w:val="none"/>
          <w:lang w:val="en-US" w:eastAsia="zh-CN"/>
        </w:rPr>
        <w:t>4.防灾减灾形势。</w:t>
      </w:r>
      <w:r>
        <w:rPr>
          <w:rFonts w:hint="eastAsia"/>
          <w:b w:val="0"/>
          <w:bCs w:val="0"/>
          <w:lang w:val="en-US" w:eastAsia="zh-CN"/>
        </w:rPr>
        <w:t>片区应急物资社会储备、生产能力储备较弱，应急装备使用、培训较少，生活类救灾物资储备规模和品种不够合理，应急物资区域保障能力需进一步提升。</w:t>
      </w:r>
      <w:r>
        <w:rPr>
          <w:rFonts w:hint="eastAsia"/>
          <w:highlight w:val="none"/>
          <w:lang w:val="en-US" w:eastAsia="zh-CN"/>
        </w:rPr>
        <w:t>规范化应急避难场所建设较差，没有达到人均1平米标准。现有的临时</w:t>
      </w:r>
      <w:r>
        <w:rPr>
          <w:rFonts w:hint="eastAsia"/>
          <w:lang w:val="en-US" w:eastAsia="zh-CN"/>
        </w:rPr>
        <w:t>应急避难场所还未按要求完善指示标牌、医疗救护、物资发放、转移安置、消防和应急垃圾与污水处理等功能及配套设施。</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b w:val="0"/>
          <w:bCs w:val="0"/>
          <w:lang w:val="en-US" w:eastAsia="zh-CN"/>
        </w:rPr>
      </w:pPr>
      <w:r>
        <w:rPr>
          <w:rFonts w:hint="eastAsia"/>
          <w:b/>
          <w:bCs/>
          <w:highlight w:val="none"/>
          <w:lang w:val="en-US" w:eastAsia="zh-CN"/>
        </w:rPr>
        <w:t>5.社会共治共享。</w:t>
      </w:r>
      <w:r>
        <w:rPr>
          <w:rFonts w:hint="eastAsia"/>
          <w:b w:val="0"/>
          <w:bCs w:val="0"/>
          <w:lang w:val="en-US" w:eastAsia="zh-CN"/>
        </w:rPr>
        <w:t>宣传方面乡镇建站、村社建点的要求还没有落实到位，没有形成规模化宣传矩阵；宣传手段偏传统化，现代化手段运用较少，宣传教育的力度、实效需进一步加强；公众风险辨识、防范意识和自救能力较弱，群众参与度不高，群防群治氛围不浓。</w:t>
      </w:r>
      <w:bookmarkStart w:id="35" w:name="_Toc12855"/>
    </w:p>
    <w:p>
      <w:pPr>
        <w:pStyle w:val="3"/>
        <w:numPr>
          <w:ilvl w:val="0"/>
          <w:numId w:val="1"/>
        </w:numPr>
        <w:jc w:val="center"/>
        <w:rPr>
          <w:rFonts w:hint="eastAsia" w:ascii="Times New Roman" w:hAnsi="Times New Roman"/>
          <w:b w:val="0"/>
          <w:bCs/>
          <w:lang w:val="en-US" w:eastAsia="zh-CN"/>
        </w:rPr>
      </w:pPr>
      <w:r>
        <w:rPr>
          <w:rFonts w:hint="eastAsia" w:ascii="Times New Roman" w:hAnsi="Times New Roman"/>
          <w:b w:val="0"/>
          <w:bCs/>
          <w:lang w:val="en-US" w:eastAsia="zh-CN"/>
        </w:rPr>
        <w:t>规划目标</w:t>
      </w:r>
      <w:bookmarkEnd w:id="35"/>
    </w:p>
    <w:p>
      <w:pPr>
        <w:pStyle w:val="2"/>
        <w:numPr>
          <w:ilvl w:val="0"/>
          <w:numId w:val="0"/>
        </w:numPr>
        <w:ind w:firstLine="643" w:firstLineChars="200"/>
        <w:jc w:val="both"/>
        <w:rPr>
          <w:rFonts w:hint="eastAsia"/>
          <w:b/>
          <w:bCs w:val="0"/>
          <w:lang w:val="en-US" w:eastAsia="zh-CN"/>
        </w:rPr>
      </w:pPr>
      <w:bookmarkStart w:id="36" w:name="_Toc26726"/>
      <w:r>
        <w:rPr>
          <w:rFonts w:hint="eastAsia"/>
          <w:b/>
          <w:bCs w:val="0"/>
          <w:lang w:val="en-US" w:eastAsia="zh-CN"/>
        </w:rPr>
        <w:t>（一）近期目标</w:t>
      </w:r>
      <w:bookmarkEnd w:id="36"/>
    </w:p>
    <w:p>
      <w:pPr>
        <w:rPr>
          <w:rFonts w:hint="default"/>
          <w:lang w:val="en-US" w:eastAsia="zh-CN"/>
        </w:rPr>
      </w:pPr>
      <w:r>
        <w:rPr>
          <w:rFonts w:hint="eastAsia"/>
          <w:lang w:val="en-US" w:eastAsia="zh-CN"/>
        </w:rPr>
        <w:t>到2025年，片区应急管理体系和能力现代化建设取得明显成效，体制机制更加健全完善，风险防控、基层基础、应急救援、综合保障、社会协同能力显著提升，形成以政府主导，部门负责，村（社区）、社会组织、公民个人协同参与的“大应急”格局。</w:t>
      </w:r>
    </w:p>
    <w:p>
      <w:pPr>
        <w:pStyle w:val="6"/>
        <w:rPr>
          <w:rFonts w:hint="default"/>
          <w:b/>
          <w:bCs/>
          <w:lang w:val="en-US" w:eastAsia="zh-CN"/>
        </w:rPr>
      </w:pPr>
      <w:r>
        <w:rPr>
          <w:rFonts w:hint="eastAsia"/>
          <w:b/>
          <w:bCs/>
          <w:lang w:val="en-US" w:eastAsia="zh-CN"/>
        </w:rPr>
        <w:t>1.安全生产目标。</w:t>
      </w:r>
      <w:r>
        <w:rPr>
          <w:rFonts w:hint="eastAsia"/>
          <w:b w:val="0"/>
          <w:bCs w:val="0"/>
          <w:lang w:val="en-US" w:eastAsia="zh-CN"/>
        </w:rPr>
        <w:t>片区安全生产责任体系进一步完善，生产安全事故死亡人数下降，危重企业均纳入安全生产风险监测平台，企业新增从业人员安全技能培训率全部覆盖，县级道路交通安全防护能力明显提升，坚决遏制重特大事故的发生，形成领先的现代化安全生产治理体系。</w:t>
      </w:r>
    </w:p>
    <w:p>
      <w:pPr>
        <w:keepNext w:val="0"/>
        <w:keepLines w:val="0"/>
        <w:pageBreakBefore w:val="0"/>
        <w:widowControl w:val="0"/>
        <w:kinsoku/>
        <w:wordWrap/>
        <w:overflowPunct/>
        <w:topLinePunct w:val="0"/>
        <w:autoSpaceDE/>
        <w:autoSpaceDN/>
        <w:bidi w:val="0"/>
        <w:adjustRightInd/>
        <w:snapToGrid/>
        <w:jc w:val="center"/>
        <w:textAlignment w:val="auto"/>
        <w:rPr>
          <w:rFonts w:hint="default"/>
          <w:lang w:val="en-US" w:eastAsia="zh-CN"/>
        </w:rPr>
      </w:pPr>
      <w:r>
        <w:rPr>
          <w:rFonts w:hint="eastAsia"/>
          <w:lang w:val="en-US" w:eastAsia="zh-CN"/>
        </w:rPr>
        <w:t>专栏1安全生产主要指标</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3173"/>
        <w:gridCol w:w="2837"/>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tcPr>
          <w:p>
            <w:pPr>
              <w:ind w:left="0" w:leftChars="0" w:firstLine="0" w:firstLineChars="0"/>
              <w:jc w:val="center"/>
              <w:rPr>
                <w:rFonts w:hint="default"/>
                <w:sz w:val="32"/>
                <w:szCs w:val="24"/>
                <w:vertAlign w:val="baseline"/>
                <w:lang w:val="en-US" w:eastAsia="zh-CN"/>
              </w:rPr>
            </w:pPr>
            <w:r>
              <w:rPr>
                <w:rFonts w:hint="eastAsia"/>
                <w:sz w:val="32"/>
                <w:szCs w:val="24"/>
                <w:vertAlign w:val="baseline"/>
                <w:lang w:val="en-US" w:eastAsia="zh-CN"/>
              </w:rPr>
              <w:t>序号</w:t>
            </w:r>
          </w:p>
        </w:tc>
        <w:tc>
          <w:tcPr>
            <w:tcW w:w="3173" w:type="dxa"/>
          </w:tcPr>
          <w:p>
            <w:pPr>
              <w:ind w:left="0" w:leftChars="0" w:firstLine="0" w:firstLineChars="0"/>
              <w:jc w:val="center"/>
              <w:rPr>
                <w:rFonts w:hint="default"/>
                <w:sz w:val="32"/>
                <w:szCs w:val="24"/>
                <w:vertAlign w:val="baseline"/>
                <w:lang w:val="en-US" w:eastAsia="zh-CN"/>
              </w:rPr>
            </w:pPr>
            <w:r>
              <w:rPr>
                <w:rFonts w:hint="eastAsia"/>
                <w:sz w:val="32"/>
                <w:szCs w:val="24"/>
                <w:vertAlign w:val="baseline"/>
                <w:lang w:val="en-US" w:eastAsia="zh-CN"/>
              </w:rPr>
              <w:t>指标名称</w:t>
            </w:r>
          </w:p>
        </w:tc>
        <w:tc>
          <w:tcPr>
            <w:tcW w:w="2837" w:type="dxa"/>
          </w:tcPr>
          <w:p>
            <w:pPr>
              <w:ind w:left="0" w:leftChars="0" w:firstLine="0" w:firstLineChars="0"/>
              <w:jc w:val="center"/>
              <w:rPr>
                <w:rFonts w:hint="default"/>
                <w:sz w:val="32"/>
                <w:szCs w:val="24"/>
                <w:vertAlign w:val="baseline"/>
                <w:lang w:val="en-US" w:eastAsia="zh-CN"/>
              </w:rPr>
            </w:pPr>
            <w:r>
              <w:rPr>
                <w:rFonts w:hint="eastAsia"/>
                <w:sz w:val="32"/>
                <w:szCs w:val="24"/>
                <w:vertAlign w:val="baseline"/>
                <w:lang w:val="en-US" w:eastAsia="zh-CN"/>
              </w:rPr>
              <w:t>预期值</w:t>
            </w:r>
          </w:p>
        </w:tc>
        <w:tc>
          <w:tcPr>
            <w:tcW w:w="1573" w:type="dxa"/>
          </w:tcPr>
          <w:p>
            <w:pPr>
              <w:ind w:left="0" w:leftChars="0" w:firstLine="0" w:firstLineChars="0"/>
              <w:jc w:val="center"/>
              <w:rPr>
                <w:rFonts w:hint="default"/>
                <w:sz w:val="32"/>
                <w:szCs w:val="24"/>
                <w:vertAlign w:val="baseline"/>
                <w:lang w:val="en-US" w:eastAsia="zh-CN"/>
              </w:rPr>
            </w:pPr>
            <w:r>
              <w:rPr>
                <w:rFonts w:hint="eastAsia"/>
                <w:sz w:val="32"/>
                <w:szCs w:val="24"/>
                <w:vertAlign w:val="baseline"/>
                <w:lang w:val="en-US" w:eastAsia="zh-CN"/>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410" w:lineRule="exact"/>
              <w:ind w:left="0" w:leftChars="0" w:firstLine="0" w:firstLine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生产安全事故死亡人数（人）</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410" w:lineRule="exact"/>
              <w:ind w:left="0" w:leftChars="0" w:firstLine="0" w:firstLine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相比“十三五”期间总数同口径下降15%</w:t>
            </w:r>
          </w:p>
        </w:tc>
        <w:tc>
          <w:tcPr>
            <w:tcW w:w="1573" w:type="dxa"/>
            <w:vAlign w:val="center"/>
          </w:tcPr>
          <w:p>
            <w:pPr>
              <w:keepNext w:val="0"/>
              <w:keepLines w:val="0"/>
              <w:pageBreakBefore w:val="0"/>
              <w:widowControl w:val="0"/>
              <w:kinsoku/>
              <w:wordWrap/>
              <w:overflowPunct/>
              <w:topLinePunct w:val="0"/>
              <w:autoSpaceDE/>
              <w:autoSpaceDN/>
              <w:bidi w:val="0"/>
              <w:adjustRightInd/>
              <w:snapToGrid/>
              <w:spacing w:line="410" w:lineRule="exact"/>
              <w:ind w:left="0" w:leftChars="0" w:firstLine="0" w:firstLine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410" w:lineRule="exact"/>
              <w:ind w:left="0" w:leftChars="0" w:firstLine="0" w:firstLine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单位地区生产总值安全事故死亡率</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410" w:lineRule="exact"/>
              <w:ind w:left="0" w:leftChars="0" w:firstLine="0" w:firstLine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相比“十三五”期间总数同口径下降</w:t>
            </w:r>
            <w:r>
              <w:rPr>
                <w:rFonts w:hint="eastAsia" w:ascii="仿宋" w:hAnsi="仿宋" w:cs="仿宋"/>
                <w:sz w:val="32"/>
                <w:szCs w:val="32"/>
                <w:vertAlign w:val="baseline"/>
                <w:lang w:val="en-US" w:eastAsia="zh-CN"/>
              </w:rPr>
              <w:t>30</w:t>
            </w:r>
            <w:r>
              <w:rPr>
                <w:rFonts w:hint="eastAsia" w:ascii="仿宋" w:hAnsi="仿宋" w:eastAsia="仿宋" w:cs="仿宋"/>
                <w:sz w:val="32"/>
                <w:szCs w:val="32"/>
                <w:vertAlign w:val="baseline"/>
                <w:lang w:val="en-US" w:eastAsia="zh-CN"/>
              </w:rPr>
              <w:t>%</w:t>
            </w:r>
          </w:p>
        </w:tc>
        <w:tc>
          <w:tcPr>
            <w:tcW w:w="1573" w:type="dxa"/>
            <w:vAlign w:val="center"/>
          </w:tcPr>
          <w:p>
            <w:pPr>
              <w:keepNext w:val="0"/>
              <w:keepLines w:val="0"/>
              <w:pageBreakBefore w:val="0"/>
              <w:widowControl w:val="0"/>
              <w:kinsoku/>
              <w:wordWrap/>
              <w:overflowPunct/>
              <w:topLinePunct w:val="0"/>
              <w:autoSpaceDE/>
              <w:autoSpaceDN/>
              <w:bidi w:val="0"/>
              <w:adjustRightInd/>
              <w:snapToGrid/>
              <w:spacing w:line="410" w:lineRule="exact"/>
              <w:ind w:left="0" w:leftChars="0" w:firstLine="0" w:firstLine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410" w:lineRule="exact"/>
              <w:ind w:left="0" w:leftChars="0" w:firstLine="0" w:firstLineChars="0"/>
              <w:jc w:val="center"/>
              <w:textAlignment w:val="auto"/>
              <w:rPr>
                <w:rFonts w:hint="default" w:ascii="仿宋" w:hAnsi="仿宋" w:eastAsia="仿宋" w:cs="仿宋"/>
                <w:sz w:val="32"/>
                <w:szCs w:val="32"/>
                <w:vertAlign w:val="baseline"/>
                <w:lang w:val="en-US" w:eastAsia="zh-CN"/>
              </w:rPr>
            </w:pPr>
            <w:r>
              <w:rPr>
                <w:rFonts w:hint="eastAsia" w:ascii="仿宋" w:hAnsi="仿宋" w:cs="仿宋"/>
                <w:sz w:val="32"/>
                <w:szCs w:val="32"/>
                <w:vertAlign w:val="baseline"/>
                <w:lang w:val="en-US" w:eastAsia="zh-CN"/>
              </w:rPr>
              <w:t>危重企业纳入</w:t>
            </w:r>
            <w:r>
              <w:rPr>
                <w:rFonts w:hint="eastAsia" w:ascii="仿宋" w:hAnsi="仿宋" w:eastAsia="仿宋" w:cs="仿宋"/>
                <w:sz w:val="32"/>
                <w:szCs w:val="32"/>
                <w:vertAlign w:val="baseline"/>
                <w:lang w:val="en-US" w:eastAsia="zh-CN"/>
              </w:rPr>
              <w:t>安全生产</w:t>
            </w:r>
            <w:r>
              <w:rPr>
                <w:rFonts w:hint="eastAsia" w:ascii="仿宋" w:hAnsi="仿宋" w:cs="仿宋"/>
                <w:sz w:val="32"/>
                <w:szCs w:val="32"/>
                <w:vertAlign w:val="baseline"/>
                <w:lang w:val="en-US" w:eastAsia="zh-CN"/>
              </w:rPr>
              <w:t>风险监测平台率</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410" w:lineRule="exact"/>
              <w:ind w:left="0" w:leftChars="0" w:firstLine="0" w:firstLineChars="0"/>
              <w:jc w:val="center"/>
              <w:textAlignment w:val="auto"/>
              <w:rPr>
                <w:rFonts w:hint="default" w:ascii="仿宋" w:hAnsi="仿宋" w:eastAsia="仿宋" w:cs="仿宋"/>
                <w:sz w:val="32"/>
                <w:szCs w:val="32"/>
                <w:vertAlign w:val="baseline"/>
                <w:lang w:val="en-US" w:eastAsia="zh-CN"/>
              </w:rPr>
            </w:pPr>
            <w:r>
              <w:rPr>
                <w:rFonts w:hint="eastAsia" w:ascii="仿宋" w:hAnsi="仿宋" w:cs="仿宋"/>
                <w:sz w:val="32"/>
                <w:szCs w:val="32"/>
                <w:vertAlign w:val="baseline"/>
                <w:lang w:val="en-US" w:eastAsia="zh-CN"/>
              </w:rPr>
              <w:t>100%</w:t>
            </w:r>
          </w:p>
        </w:tc>
        <w:tc>
          <w:tcPr>
            <w:tcW w:w="1573" w:type="dxa"/>
            <w:vAlign w:val="center"/>
          </w:tcPr>
          <w:p>
            <w:pPr>
              <w:keepNext w:val="0"/>
              <w:keepLines w:val="0"/>
              <w:pageBreakBefore w:val="0"/>
              <w:widowControl w:val="0"/>
              <w:kinsoku/>
              <w:wordWrap/>
              <w:overflowPunct/>
              <w:topLinePunct w:val="0"/>
              <w:autoSpaceDE/>
              <w:autoSpaceDN/>
              <w:bidi w:val="0"/>
              <w:adjustRightInd/>
              <w:snapToGrid/>
              <w:spacing w:line="410" w:lineRule="exact"/>
              <w:ind w:left="0" w:leftChars="0" w:firstLine="0" w:firstLine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410" w:lineRule="exact"/>
              <w:ind w:left="0" w:leftChars="0" w:firstLine="0" w:firstLine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企业新增从业人员安全技能培训率</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410" w:lineRule="exact"/>
              <w:ind w:left="0" w:leftChars="0" w:firstLine="0" w:firstLine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100%</w:t>
            </w:r>
          </w:p>
        </w:tc>
        <w:tc>
          <w:tcPr>
            <w:tcW w:w="1573" w:type="dxa"/>
            <w:vAlign w:val="center"/>
          </w:tcPr>
          <w:p>
            <w:pPr>
              <w:keepNext w:val="0"/>
              <w:keepLines w:val="0"/>
              <w:pageBreakBefore w:val="0"/>
              <w:widowControl w:val="0"/>
              <w:kinsoku/>
              <w:wordWrap/>
              <w:overflowPunct/>
              <w:topLinePunct w:val="0"/>
              <w:autoSpaceDE/>
              <w:autoSpaceDN/>
              <w:bidi w:val="0"/>
              <w:adjustRightInd/>
              <w:snapToGrid/>
              <w:spacing w:line="410" w:lineRule="exact"/>
              <w:ind w:left="0" w:leftChars="0" w:firstLine="0" w:firstLine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410" w:lineRule="exact"/>
              <w:ind w:left="0" w:leftChars="0" w:firstLine="0" w:firstLineChars="0"/>
              <w:jc w:val="center"/>
              <w:textAlignment w:val="auto"/>
              <w:rPr>
                <w:rFonts w:hint="default" w:ascii="仿宋" w:hAnsi="仿宋" w:eastAsia="仿宋" w:cs="仿宋"/>
                <w:sz w:val="32"/>
                <w:szCs w:val="32"/>
                <w:vertAlign w:val="baseline"/>
                <w:lang w:val="en-US" w:eastAsia="zh-CN"/>
              </w:rPr>
            </w:pPr>
            <w:r>
              <w:rPr>
                <w:rFonts w:hint="eastAsia" w:ascii="仿宋" w:hAnsi="仿宋" w:cs="仿宋"/>
                <w:sz w:val="32"/>
                <w:szCs w:val="32"/>
                <w:vertAlign w:val="baseline"/>
                <w:lang w:val="en-US" w:eastAsia="zh-CN"/>
              </w:rPr>
              <w:t>重点单位安保能力提升</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410" w:lineRule="exact"/>
              <w:ind w:left="0" w:leftChars="0" w:firstLine="0" w:firstLineChars="0"/>
              <w:jc w:val="center"/>
              <w:textAlignment w:val="auto"/>
              <w:rPr>
                <w:rFonts w:hint="default" w:ascii="仿宋" w:hAnsi="仿宋" w:eastAsia="仿宋" w:cs="仿宋"/>
                <w:sz w:val="32"/>
                <w:szCs w:val="32"/>
                <w:vertAlign w:val="baseline"/>
                <w:lang w:val="en-US" w:eastAsia="zh-CN"/>
              </w:rPr>
            </w:pPr>
            <w:r>
              <w:rPr>
                <w:rFonts w:hint="eastAsia"/>
                <w:lang w:val="en-US" w:eastAsia="zh-CN"/>
              </w:rPr>
              <w:t>应急预案专项演练100%</w:t>
            </w:r>
          </w:p>
        </w:tc>
        <w:tc>
          <w:tcPr>
            <w:tcW w:w="1573" w:type="dxa"/>
            <w:vAlign w:val="center"/>
          </w:tcPr>
          <w:p>
            <w:pPr>
              <w:keepNext w:val="0"/>
              <w:keepLines w:val="0"/>
              <w:pageBreakBefore w:val="0"/>
              <w:widowControl w:val="0"/>
              <w:kinsoku/>
              <w:wordWrap/>
              <w:overflowPunct/>
              <w:topLinePunct w:val="0"/>
              <w:autoSpaceDE/>
              <w:autoSpaceDN/>
              <w:bidi w:val="0"/>
              <w:adjustRightInd/>
              <w:snapToGrid/>
              <w:spacing w:line="410" w:lineRule="exact"/>
              <w:ind w:left="0" w:leftChars="0" w:firstLine="0" w:firstLine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预期性</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default"/>
          <w:b/>
          <w:bCs/>
          <w:lang w:val="en-US" w:eastAsia="zh-CN"/>
        </w:rPr>
      </w:pPr>
      <w:r>
        <w:rPr>
          <w:rFonts w:hint="eastAsia"/>
          <w:b/>
          <w:bCs/>
          <w:lang w:val="en-US" w:eastAsia="zh-CN"/>
        </w:rPr>
        <w:t>2.防灾减灾目标。</w:t>
      </w:r>
      <w:r>
        <w:rPr>
          <w:rFonts w:hint="eastAsia"/>
          <w:b w:val="0"/>
          <w:bCs w:val="0"/>
          <w:lang w:val="en-US" w:eastAsia="zh-CN"/>
        </w:rPr>
        <w:t>片区防灾减灾救灾能力进一步提升，最大限度保障人民群众生命财产安全，做好防灾减灾救灾基础设施升级改造。自然灾害直接经济损失不断下降，因自然灾害死亡人数不断减少，灾害信息发布及时有效，受灾群众基本生活得到有效救助时间进一步缩短。</w:t>
      </w:r>
    </w:p>
    <w:p>
      <w:pPr>
        <w:pStyle w:val="6"/>
        <w:jc w:val="center"/>
        <w:rPr>
          <w:rFonts w:hint="default" w:ascii="Times New Roman" w:hAnsi="Times New Roman" w:eastAsia="仿宋" w:cs="Times New Roman"/>
          <w:kern w:val="2"/>
          <w:sz w:val="32"/>
          <w:szCs w:val="24"/>
          <w:lang w:val="en-US" w:eastAsia="zh-CN" w:bidi="ar-SA"/>
        </w:rPr>
      </w:pPr>
      <w:r>
        <w:rPr>
          <w:rFonts w:hint="eastAsia" w:ascii="Times New Roman" w:hAnsi="Times New Roman" w:eastAsia="仿宋" w:cs="Times New Roman"/>
          <w:kern w:val="2"/>
          <w:sz w:val="32"/>
          <w:szCs w:val="24"/>
          <w:lang w:val="en-US" w:eastAsia="zh-CN" w:bidi="ar-SA"/>
        </w:rPr>
        <w:t>专栏2防灾减灾主要指标</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3037"/>
        <w:gridCol w:w="2828"/>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序号</w:t>
            </w:r>
          </w:p>
        </w:tc>
        <w:tc>
          <w:tcPr>
            <w:tcW w:w="3037" w:type="dxa"/>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指标名称</w:t>
            </w:r>
          </w:p>
        </w:tc>
        <w:tc>
          <w:tcPr>
            <w:tcW w:w="2828" w:type="dxa"/>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预期值</w:t>
            </w:r>
          </w:p>
        </w:tc>
        <w:tc>
          <w:tcPr>
            <w:tcW w:w="1718" w:type="dxa"/>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3037"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firstLine="0" w:firstLine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年均因自然灾害直接经济损失占本地区生产总值的比例</w:t>
            </w:r>
          </w:p>
        </w:tc>
        <w:tc>
          <w:tcPr>
            <w:tcW w:w="2828" w:type="dxa"/>
            <w:vAlign w:val="center"/>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＜0.</w:t>
            </w:r>
            <w:r>
              <w:rPr>
                <w:rFonts w:hint="eastAsia" w:ascii="仿宋" w:hAnsi="仿宋" w:cs="仿宋"/>
                <w:sz w:val="32"/>
                <w:szCs w:val="32"/>
                <w:vertAlign w:val="baseline"/>
                <w:lang w:val="en-US" w:eastAsia="zh-CN"/>
              </w:rPr>
              <w:t>8</w:t>
            </w:r>
            <w:r>
              <w:rPr>
                <w:rFonts w:hint="eastAsia" w:ascii="仿宋" w:hAnsi="仿宋" w:eastAsia="仿宋" w:cs="仿宋"/>
                <w:sz w:val="32"/>
                <w:szCs w:val="32"/>
                <w:vertAlign w:val="baseline"/>
                <w:lang w:val="en-US" w:eastAsia="zh-CN"/>
              </w:rPr>
              <w:t>%</w:t>
            </w:r>
          </w:p>
        </w:tc>
        <w:tc>
          <w:tcPr>
            <w:tcW w:w="1718" w:type="dxa"/>
            <w:vAlign w:val="center"/>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3037"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firstLine="0" w:firstLine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年均每10万人口因自然灾害死亡率</w:t>
            </w:r>
          </w:p>
        </w:tc>
        <w:tc>
          <w:tcPr>
            <w:tcW w:w="2828" w:type="dxa"/>
            <w:vAlign w:val="center"/>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1718" w:type="dxa"/>
            <w:vAlign w:val="center"/>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3037"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firstLine="0" w:firstLine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灾害信息发布公众覆盖率</w:t>
            </w:r>
          </w:p>
        </w:tc>
        <w:tc>
          <w:tcPr>
            <w:tcW w:w="2828" w:type="dxa"/>
            <w:vAlign w:val="center"/>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＞95%</w:t>
            </w:r>
          </w:p>
        </w:tc>
        <w:tc>
          <w:tcPr>
            <w:tcW w:w="1718" w:type="dxa"/>
            <w:vAlign w:val="center"/>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3037"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firstLine="0" w:firstLine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受灾群众基本生活得到有效救助的时间</w:t>
            </w:r>
          </w:p>
        </w:tc>
        <w:tc>
          <w:tcPr>
            <w:tcW w:w="2828" w:type="dxa"/>
            <w:vAlign w:val="center"/>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≤6小时</w:t>
            </w:r>
          </w:p>
        </w:tc>
        <w:tc>
          <w:tcPr>
            <w:tcW w:w="1718" w:type="dxa"/>
            <w:vAlign w:val="center"/>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3037" w:type="dxa"/>
            <w:vAlign w:val="top"/>
          </w:tcPr>
          <w:p>
            <w:pPr>
              <w:ind w:left="0" w:leftChars="0" w:firstLine="0" w:firstLineChars="0"/>
              <w:jc w:val="both"/>
              <w:rPr>
                <w:rFonts w:hint="default"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镇区常住人口人均应急避难面积</w:t>
            </w:r>
          </w:p>
        </w:tc>
        <w:tc>
          <w:tcPr>
            <w:tcW w:w="2828" w:type="dxa"/>
            <w:vAlign w:val="center"/>
          </w:tcPr>
          <w:p>
            <w:pPr>
              <w:ind w:left="0" w:leftChars="0" w:firstLine="0" w:firstLineChars="0"/>
              <w:jc w:val="center"/>
              <w:rPr>
                <w:rFonts w:hint="default"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≥1㎡</w:t>
            </w:r>
          </w:p>
        </w:tc>
        <w:tc>
          <w:tcPr>
            <w:tcW w:w="1718" w:type="dxa"/>
            <w:vAlign w:val="center"/>
          </w:tcPr>
          <w:p>
            <w:pPr>
              <w:ind w:left="0" w:leftChars="0" w:firstLine="0" w:firstLineChars="0"/>
              <w:jc w:val="center"/>
              <w:rPr>
                <w:rFonts w:hint="default"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约束性</w:t>
            </w:r>
          </w:p>
        </w:tc>
      </w:tr>
    </w:tbl>
    <w:p>
      <w:pPr>
        <w:pStyle w:val="6"/>
        <w:keepNext w:val="0"/>
        <w:keepLines w:val="0"/>
        <w:pageBreakBefore w:val="0"/>
        <w:widowControl w:val="0"/>
        <w:kinsoku/>
        <w:wordWrap/>
        <w:overflowPunct/>
        <w:topLinePunct w:val="0"/>
        <w:autoSpaceDE/>
        <w:autoSpaceDN/>
        <w:bidi w:val="0"/>
        <w:adjustRightInd/>
        <w:snapToGrid/>
        <w:spacing w:after="0"/>
        <w:ind w:left="0" w:leftChars="0" w:firstLine="643" w:firstLineChars="200"/>
        <w:textAlignment w:val="auto"/>
        <w:rPr>
          <w:rFonts w:hint="eastAsia" w:ascii="Times New Roman" w:hAnsi="Times New Roman" w:eastAsia="仿宋" w:cs="Times New Roman"/>
          <w:kern w:val="2"/>
          <w:sz w:val="32"/>
          <w:szCs w:val="24"/>
          <w:lang w:val="en-US" w:eastAsia="zh-CN" w:bidi="ar-SA"/>
        </w:rPr>
      </w:pPr>
      <w:r>
        <w:rPr>
          <w:rFonts w:hint="eastAsia"/>
          <w:b/>
          <w:bCs/>
          <w:lang w:val="en-US" w:eastAsia="zh-CN"/>
        </w:rPr>
        <w:t>3.应急能力目标。</w:t>
      </w:r>
      <w:r>
        <w:rPr>
          <w:rFonts w:hint="eastAsia"/>
          <w:b w:val="0"/>
          <w:bCs w:val="0"/>
          <w:lang w:val="en-US" w:eastAsia="zh-CN"/>
        </w:rPr>
        <w:t>片区综合应急能力明显提升。进一步优化力量布局，量化装备配置，强化专业培训，应急救援队伍专业化水平不断提升；进一步落实应急预案的修订和完善，加强预案的宣传、培训和演练力度，应急救援的准备和能力有效提升；进一步加强监测和预警能力建设的信息化水平，预警响应、协调联动和有效救援的应急处置能力快速提升；进一步强化应急物资、应急通信、灾后救助等应急管理工作，综合保障能力逐年提升。</w:t>
      </w:r>
    </w:p>
    <w:p>
      <w:pPr>
        <w:jc w:val="center"/>
        <w:rPr>
          <w:rFonts w:hint="default" w:ascii="Times New Roman" w:hAnsi="Times New Roman" w:eastAsia="仿宋" w:cs="Times New Roman"/>
          <w:kern w:val="2"/>
          <w:sz w:val="32"/>
          <w:szCs w:val="24"/>
          <w:lang w:val="en-US" w:eastAsia="zh-CN" w:bidi="ar-SA"/>
        </w:rPr>
      </w:pPr>
      <w:r>
        <w:rPr>
          <w:rFonts w:hint="eastAsia" w:ascii="Times New Roman" w:hAnsi="Times New Roman" w:eastAsia="仿宋" w:cs="Times New Roman"/>
          <w:kern w:val="2"/>
          <w:sz w:val="32"/>
          <w:szCs w:val="24"/>
          <w:lang w:val="en-US" w:eastAsia="zh-CN" w:bidi="ar-SA"/>
        </w:rPr>
        <w:t>专栏3应急能力主要指标</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3228"/>
        <w:gridCol w:w="2382"/>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序号</w:t>
            </w:r>
          </w:p>
        </w:tc>
        <w:tc>
          <w:tcPr>
            <w:tcW w:w="3228" w:type="dxa"/>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指标名称</w:t>
            </w:r>
          </w:p>
        </w:tc>
        <w:tc>
          <w:tcPr>
            <w:tcW w:w="2382" w:type="dxa"/>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预期值</w:t>
            </w:r>
          </w:p>
        </w:tc>
        <w:tc>
          <w:tcPr>
            <w:tcW w:w="1973" w:type="dxa"/>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3228" w:type="dxa"/>
          </w:tcPr>
          <w:p>
            <w:pPr>
              <w:ind w:left="0" w:leftChars="0" w:firstLine="0" w:firstLineChars="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应急救援装备配备率</w:t>
            </w:r>
          </w:p>
        </w:tc>
        <w:tc>
          <w:tcPr>
            <w:tcW w:w="2382" w:type="dxa"/>
            <w:vAlign w:val="center"/>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100%</w:t>
            </w:r>
          </w:p>
        </w:tc>
        <w:tc>
          <w:tcPr>
            <w:tcW w:w="1973" w:type="dxa"/>
            <w:vAlign w:val="center"/>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3228" w:type="dxa"/>
          </w:tcPr>
          <w:p>
            <w:pPr>
              <w:ind w:left="0" w:leftChars="0" w:firstLine="0" w:firstLineChars="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镇（街道）10分钟快速响应救援圈建成率</w:t>
            </w:r>
          </w:p>
        </w:tc>
        <w:tc>
          <w:tcPr>
            <w:tcW w:w="2382" w:type="dxa"/>
            <w:vAlign w:val="center"/>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90%</w:t>
            </w:r>
          </w:p>
        </w:tc>
        <w:tc>
          <w:tcPr>
            <w:tcW w:w="1973" w:type="dxa"/>
            <w:vAlign w:val="center"/>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3228" w:type="dxa"/>
            <w:vAlign w:val="top"/>
          </w:tcPr>
          <w:p>
            <w:pPr>
              <w:ind w:left="0" w:leftChars="0" w:firstLine="0" w:firstLineChars="0"/>
              <w:jc w:val="both"/>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应急预案编制率、演练率、覆盖率</w:t>
            </w:r>
          </w:p>
        </w:tc>
        <w:tc>
          <w:tcPr>
            <w:tcW w:w="2382" w:type="dxa"/>
            <w:vAlign w:val="center"/>
          </w:tcPr>
          <w:p>
            <w:pPr>
              <w:ind w:left="0" w:leftChars="0" w:firstLine="0" w:firstLineChars="0"/>
              <w:jc w:val="center"/>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100%</w:t>
            </w:r>
          </w:p>
        </w:tc>
        <w:tc>
          <w:tcPr>
            <w:tcW w:w="1973" w:type="dxa"/>
            <w:vAlign w:val="center"/>
          </w:tcPr>
          <w:p>
            <w:pPr>
              <w:ind w:left="0" w:leftChars="0" w:firstLine="0" w:firstLineChars="0"/>
              <w:jc w:val="center"/>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3228" w:type="dxa"/>
            <w:vAlign w:val="top"/>
          </w:tcPr>
          <w:p>
            <w:pPr>
              <w:ind w:left="0" w:leftChars="0" w:firstLine="0" w:firstLineChars="0"/>
              <w:jc w:val="both"/>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应急救援人员受专业培训比率</w:t>
            </w:r>
          </w:p>
        </w:tc>
        <w:tc>
          <w:tcPr>
            <w:tcW w:w="2382" w:type="dxa"/>
            <w:vAlign w:val="center"/>
          </w:tcPr>
          <w:p>
            <w:pPr>
              <w:ind w:left="0" w:leftChars="0" w:firstLine="0" w:firstLineChars="0"/>
              <w:jc w:val="center"/>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100%</w:t>
            </w:r>
          </w:p>
        </w:tc>
        <w:tc>
          <w:tcPr>
            <w:tcW w:w="1973" w:type="dxa"/>
            <w:vAlign w:val="center"/>
          </w:tcPr>
          <w:p>
            <w:pPr>
              <w:ind w:left="0" w:leftChars="0" w:firstLine="0" w:firstLineChars="0"/>
              <w:jc w:val="center"/>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3228" w:type="dxa"/>
            <w:vAlign w:val="top"/>
          </w:tcPr>
          <w:p>
            <w:pPr>
              <w:ind w:left="0" w:leftChars="0" w:firstLine="0" w:firstLineChars="0"/>
              <w:jc w:val="both"/>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镇（中心村）应急物资储备库配备率</w:t>
            </w:r>
          </w:p>
        </w:tc>
        <w:tc>
          <w:tcPr>
            <w:tcW w:w="2382" w:type="dxa"/>
            <w:vAlign w:val="center"/>
          </w:tcPr>
          <w:p>
            <w:pPr>
              <w:ind w:left="0" w:leftChars="0" w:firstLine="0" w:firstLineChars="0"/>
              <w:jc w:val="center"/>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100%</w:t>
            </w:r>
          </w:p>
        </w:tc>
        <w:tc>
          <w:tcPr>
            <w:tcW w:w="1973" w:type="dxa"/>
            <w:vAlign w:val="center"/>
          </w:tcPr>
          <w:p>
            <w:pPr>
              <w:ind w:left="0" w:leftChars="0" w:firstLine="0" w:firstLineChars="0"/>
              <w:jc w:val="center"/>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ind w:left="0" w:leftChars="0" w:firstLine="0" w:firstLineChars="0"/>
              <w:jc w:val="center"/>
              <w:rPr>
                <w:rFonts w:hint="default" w:ascii="仿宋" w:hAnsi="仿宋" w:eastAsia="仿宋" w:cs="仿宋"/>
                <w:sz w:val="32"/>
                <w:szCs w:val="32"/>
                <w:vertAlign w:val="baseline"/>
                <w:lang w:val="en-US" w:eastAsia="zh-CN"/>
              </w:rPr>
            </w:pPr>
            <w:bookmarkStart w:id="37" w:name="_Toc28262"/>
            <w:r>
              <w:rPr>
                <w:rFonts w:hint="eastAsia" w:ascii="仿宋" w:hAnsi="仿宋" w:eastAsia="仿宋" w:cs="仿宋"/>
                <w:sz w:val="32"/>
                <w:szCs w:val="32"/>
                <w:vertAlign w:val="baseline"/>
                <w:lang w:val="en-US" w:eastAsia="zh-CN"/>
              </w:rPr>
              <w:t>6.</w:t>
            </w:r>
          </w:p>
        </w:tc>
        <w:tc>
          <w:tcPr>
            <w:tcW w:w="3228" w:type="dxa"/>
            <w:vAlign w:val="top"/>
          </w:tcPr>
          <w:p>
            <w:pPr>
              <w:ind w:left="0" w:leftChars="0" w:firstLine="0" w:firstLineChars="0"/>
              <w:jc w:val="both"/>
              <w:rPr>
                <w:rFonts w:hint="eastAsia" w:ascii="仿宋" w:hAnsi="仿宋" w:eastAsia="仿宋" w:cs="仿宋"/>
                <w:kern w:val="2"/>
                <w:sz w:val="32"/>
                <w:szCs w:val="32"/>
                <w:vertAlign w:val="baseline"/>
                <w:lang w:val="en-US" w:eastAsia="zh-CN" w:bidi="ar-SA"/>
              </w:rPr>
            </w:pPr>
            <w:r>
              <w:rPr>
                <w:rFonts w:hint="eastAsia" w:ascii="仿宋" w:hAnsi="仿宋" w:cs="仿宋"/>
                <w:sz w:val="32"/>
                <w:szCs w:val="32"/>
                <w:vertAlign w:val="baseline"/>
                <w:lang w:val="en-US" w:eastAsia="zh-CN"/>
              </w:rPr>
              <w:t>公众应急知识普及率</w:t>
            </w:r>
          </w:p>
        </w:tc>
        <w:tc>
          <w:tcPr>
            <w:tcW w:w="2382" w:type="dxa"/>
            <w:vAlign w:val="center"/>
          </w:tcPr>
          <w:p>
            <w:pPr>
              <w:ind w:left="0" w:leftChars="0" w:firstLine="0" w:firstLineChars="0"/>
              <w:jc w:val="center"/>
              <w:rPr>
                <w:rFonts w:hint="eastAsia" w:ascii="仿宋" w:hAnsi="仿宋" w:eastAsia="仿宋" w:cs="仿宋"/>
                <w:kern w:val="2"/>
                <w:sz w:val="32"/>
                <w:szCs w:val="32"/>
                <w:vertAlign w:val="baseline"/>
                <w:lang w:val="en-US" w:eastAsia="zh-CN" w:bidi="ar-SA"/>
              </w:rPr>
            </w:pPr>
            <w:r>
              <w:rPr>
                <w:rFonts w:hint="eastAsia" w:ascii="仿宋" w:hAnsi="仿宋" w:cs="仿宋"/>
                <w:sz w:val="32"/>
                <w:szCs w:val="32"/>
                <w:vertAlign w:val="baseline"/>
                <w:lang w:val="en-US" w:eastAsia="zh-CN"/>
              </w:rPr>
              <w:t>60%</w:t>
            </w:r>
          </w:p>
        </w:tc>
        <w:tc>
          <w:tcPr>
            <w:tcW w:w="1973" w:type="dxa"/>
            <w:vAlign w:val="center"/>
          </w:tcPr>
          <w:p>
            <w:pPr>
              <w:ind w:left="0" w:leftChars="0" w:firstLine="0" w:firstLineChars="0"/>
              <w:jc w:val="center"/>
              <w:rPr>
                <w:rFonts w:hint="eastAsia" w:ascii="仿宋" w:hAnsi="仿宋" w:eastAsia="仿宋" w:cs="仿宋"/>
                <w:kern w:val="2"/>
                <w:sz w:val="32"/>
                <w:szCs w:val="32"/>
                <w:vertAlign w:val="baseline"/>
                <w:lang w:val="en-US" w:eastAsia="zh-CN" w:bidi="ar-SA"/>
              </w:rPr>
            </w:pPr>
            <w:r>
              <w:rPr>
                <w:rFonts w:hint="eastAsia" w:ascii="仿宋" w:hAnsi="仿宋" w:cs="仿宋"/>
                <w:sz w:val="32"/>
                <w:szCs w:val="32"/>
                <w:vertAlign w:val="baseline"/>
                <w:lang w:val="en-US" w:eastAsia="zh-CN"/>
              </w:rPr>
              <w:t>预期性</w:t>
            </w:r>
          </w:p>
        </w:tc>
      </w:tr>
    </w:tbl>
    <w:p>
      <w:pPr>
        <w:pStyle w:val="2"/>
        <w:keepNext/>
        <w:keepLines/>
        <w:pageBreakBefore w:val="0"/>
        <w:widowControl w:val="0"/>
        <w:numPr>
          <w:ilvl w:val="0"/>
          <w:numId w:val="0"/>
        </w:numPr>
        <w:kinsoku/>
        <w:wordWrap/>
        <w:overflowPunct/>
        <w:topLinePunct w:val="0"/>
        <w:autoSpaceDE/>
        <w:autoSpaceDN/>
        <w:bidi w:val="0"/>
        <w:adjustRightInd/>
        <w:snapToGrid/>
        <w:spacing w:before="313" w:beforeLines="100"/>
        <w:ind w:firstLine="643" w:firstLineChars="200"/>
        <w:jc w:val="both"/>
        <w:textAlignment w:val="auto"/>
        <w:rPr>
          <w:rFonts w:hint="eastAsia"/>
          <w:b/>
          <w:bCs w:val="0"/>
          <w:lang w:val="en-US" w:eastAsia="zh-CN"/>
        </w:rPr>
      </w:pPr>
      <w:r>
        <w:rPr>
          <w:rFonts w:hint="eastAsia"/>
          <w:b/>
          <w:bCs w:val="0"/>
          <w:lang w:val="en-US" w:eastAsia="zh-CN"/>
        </w:rPr>
        <w:t>（二）远景目标</w:t>
      </w:r>
      <w:bookmarkEnd w:id="37"/>
    </w:p>
    <w:p>
      <w:pPr>
        <w:rPr>
          <w:rFonts w:hint="default"/>
          <w:lang w:val="en-US" w:eastAsia="zh-CN"/>
        </w:rPr>
      </w:pPr>
      <w:r>
        <w:rPr>
          <w:rFonts w:hint="eastAsia"/>
          <w:lang w:val="en-US" w:eastAsia="zh-CN"/>
        </w:rPr>
        <w:t>到2035年，安全风险防控水平大幅提升，安全生产形势得到根本好转；自然灾害防御和巨灾应对能力达到先进水平，应急管理实现法治化、科学化、智慧化，形成共商共建共治共享新格局，人民群众的获得感、幸福感、安全感显著增强。</w:t>
      </w:r>
    </w:p>
    <w:p>
      <w:pPr>
        <w:rPr>
          <w:rFonts w:hint="eastAsia"/>
          <w:lang w:val="en-US" w:eastAsia="zh-CN"/>
        </w:rPr>
      </w:pPr>
      <w:r>
        <w:rPr>
          <w:rFonts w:hint="eastAsia"/>
          <w:lang w:val="en-US" w:eastAsia="zh-CN"/>
        </w:rPr>
        <w:br w:type="page"/>
      </w:r>
    </w:p>
    <w:p>
      <w:pPr>
        <w:pStyle w:val="3"/>
        <w:numPr>
          <w:ilvl w:val="0"/>
          <w:numId w:val="1"/>
        </w:numPr>
        <w:jc w:val="center"/>
        <w:rPr>
          <w:rFonts w:hint="eastAsia" w:ascii="Times New Roman" w:hAnsi="Times New Roman"/>
          <w:lang w:val="en-US" w:eastAsia="zh-CN"/>
        </w:rPr>
      </w:pPr>
      <w:bookmarkStart w:id="38" w:name="_Toc30251"/>
      <w:r>
        <w:rPr>
          <w:rFonts w:hint="eastAsia" w:ascii="Times New Roman" w:hAnsi="Times New Roman"/>
          <w:lang w:val="en-US" w:eastAsia="zh-CN"/>
        </w:rPr>
        <w:t>主要任务和重点工程</w:t>
      </w:r>
      <w:bookmarkEnd w:id="38"/>
    </w:p>
    <w:p>
      <w:pPr>
        <w:pStyle w:val="2"/>
        <w:numPr>
          <w:ilvl w:val="0"/>
          <w:numId w:val="0"/>
        </w:numPr>
        <w:ind w:firstLine="643" w:firstLineChars="200"/>
        <w:jc w:val="both"/>
        <w:rPr>
          <w:rFonts w:hint="eastAsia"/>
          <w:b/>
          <w:bCs w:val="0"/>
          <w:lang w:val="en-US" w:eastAsia="zh-CN"/>
        </w:rPr>
      </w:pPr>
      <w:bookmarkStart w:id="39" w:name="_Toc5949"/>
      <w:r>
        <w:rPr>
          <w:rFonts w:hint="eastAsia"/>
          <w:b/>
          <w:bCs w:val="0"/>
          <w:lang w:val="en-US" w:eastAsia="zh-CN"/>
        </w:rPr>
        <w:t>（一）应急管理机制方面</w:t>
      </w:r>
      <w:bookmarkEnd w:id="39"/>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 w:cs="Times New Roman"/>
          <w:b w:val="0"/>
          <w:bCs w:val="0"/>
          <w:kern w:val="2"/>
          <w:sz w:val="32"/>
          <w:szCs w:val="24"/>
          <w:highlight w:val="none"/>
          <w:lang w:val="en-US" w:eastAsia="zh-CN" w:bidi="ar-SA"/>
        </w:rPr>
      </w:pPr>
      <w:r>
        <w:rPr>
          <w:rFonts w:hint="eastAsia"/>
          <w:b/>
          <w:bCs/>
          <w:lang w:val="en-US" w:eastAsia="zh-CN"/>
        </w:rPr>
        <w:t>1.健全组织领导。</w:t>
      </w:r>
      <w:r>
        <w:rPr>
          <w:rFonts w:hint="eastAsia" w:cs="Times New Roman"/>
          <w:b w:val="0"/>
          <w:bCs w:val="0"/>
          <w:kern w:val="2"/>
          <w:sz w:val="32"/>
          <w:szCs w:val="24"/>
          <w:lang w:val="en-US" w:eastAsia="zh-CN" w:bidi="ar-SA"/>
        </w:rPr>
        <w:t>严格按照党政同责、一岗双责、齐抓共管、失职追责的要求，</w:t>
      </w:r>
      <w:r>
        <w:rPr>
          <w:rFonts w:hint="eastAsia" w:ascii="Times New Roman" w:hAnsi="Times New Roman" w:eastAsia="仿宋" w:cs="Times New Roman"/>
          <w:b w:val="0"/>
          <w:bCs w:val="0"/>
          <w:kern w:val="2"/>
          <w:sz w:val="32"/>
          <w:szCs w:val="24"/>
          <w:lang w:val="en-US" w:eastAsia="zh-CN" w:bidi="ar-SA"/>
        </w:rPr>
        <w:t>坚持高位推动，强化组织领导。成立由乡镇主要</w:t>
      </w:r>
      <w:r>
        <w:rPr>
          <w:rFonts w:hint="eastAsia" w:cs="Times New Roman"/>
          <w:b w:val="0"/>
          <w:bCs w:val="0"/>
          <w:kern w:val="2"/>
          <w:sz w:val="32"/>
          <w:szCs w:val="24"/>
          <w:lang w:val="en-US" w:eastAsia="zh-CN" w:bidi="ar-SA"/>
        </w:rPr>
        <w:t>领导</w:t>
      </w:r>
      <w:r>
        <w:rPr>
          <w:rFonts w:hint="eastAsia" w:ascii="Times New Roman" w:hAnsi="Times New Roman" w:eastAsia="仿宋" w:cs="Times New Roman"/>
          <w:b w:val="0"/>
          <w:bCs w:val="0"/>
          <w:kern w:val="2"/>
          <w:sz w:val="32"/>
          <w:szCs w:val="24"/>
          <w:lang w:val="en-US" w:eastAsia="zh-CN" w:bidi="ar-SA"/>
        </w:rPr>
        <w:t>同志任组长，分管负责同志任副组长的领导小组，</w:t>
      </w:r>
      <w:r>
        <w:rPr>
          <w:rFonts w:hint="eastAsia" w:cs="Times New Roman"/>
          <w:b w:val="0"/>
          <w:bCs w:val="0"/>
          <w:kern w:val="2"/>
          <w:sz w:val="32"/>
          <w:szCs w:val="24"/>
          <w:lang w:val="en-US" w:eastAsia="zh-CN" w:bidi="ar-SA"/>
        </w:rPr>
        <w:t>进一步健全领导干部应急管理责任制，进一步强化</w:t>
      </w:r>
      <w:r>
        <w:rPr>
          <w:rFonts w:hint="eastAsia"/>
          <w:b w:val="0"/>
          <w:bCs w:val="0"/>
        </w:rPr>
        <w:t>“清单制+责任制</w:t>
      </w:r>
      <w:r>
        <w:rPr>
          <w:rFonts w:hint="eastAsia"/>
          <w:b w:val="0"/>
          <w:bCs w:val="0"/>
          <w:lang w:eastAsia="zh-CN"/>
        </w:rPr>
        <w:t>”管理模式，坚持分级负责，层层压实责任，统筹推进片区</w:t>
      </w:r>
      <w:r>
        <w:rPr>
          <w:rFonts w:hint="eastAsia" w:cs="Times New Roman"/>
          <w:b w:val="0"/>
          <w:bCs w:val="0"/>
          <w:kern w:val="2"/>
          <w:sz w:val="32"/>
          <w:szCs w:val="24"/>
          <w:lang w:val="en-US" w:eastAsia="zh-CN" w:bidi="ar-SA"/>
        </w:rPr>
        <w:t>应急管理、安全生产和防灾减灾救灾工作。</w:t>
      </w:r>
    </w:p>
    <w:p>
      <w:pPr>
        <w:pStyle w:val="6"/>
        <w:keepNext w:val="0"/>
        <w:keepLines w:val="0"/>
        <w:pageBreakBefore w:val="0"/>
        <w:widowControl w:val="0"/>
        <w:kinsoku/>
        <w:wordWrap/>
        <w:overflowPunct/>
        <w:topLinePunct w:val="0"/>
        <w:autoSpaceDE/>
        <w:autoSpaceDN/>
        <w:bidi w:val="0"/>
        <w:adjustRightInd/>
        <w:snapToGrid/>
        <w:spacing w:after="0"/>
        <w:textAlignment w:val="auto"/>
        <w:rPr>
          <w:rFonts w:hint="eastAsia" w:ascii="仿宋" w:hAnsi="仿宋" w:eastAsia="仿宋" w:cs="仿宋"/>
          <w:kern w:val="2"/>
          <w:sz w:val="32"/>
          <w:szCs w:val="32"/>
          <w:lang w:val="en-US" w:eastAsia="zh-CN" w:bidi="ar-SA"/>
        </w:rPr>
      </w:pPr>
      <w:r>
        <w:rPr>
          <w:rFonts w:hint="eastAsia"/>
          <w:b/>
          <w:bCs/>
          <w:lang w:val="en-US" w:eastAsia="zh-CN"/>
        </w:rPr>
        <w:t>2.完善制度机制。</w:t>
      </w:r>
      <w:r>
        <w:rPr>
          <w:rFonts w:hint="eastAsia" w:ascii="仿宋" w:hAnsi="仿宋" w:cs="仿宋"/>
          <w:kern w:val="2"/>
          <w:sz w:val="32"/>
          <w:szCs w:val="32"/>
          <w:lang w:val="en-US" w:eastAsia="zh-CN" w:bidi="ar-SA"/>
        </w:rPr>
        <w:t>加强宣传教育、应急演练、巡查检查、安全执法、应急值守、信息报送、监测预报、会商调度、预警响应、先期处置、区域联动、避险转移、物资管理、灾后救助等制度和机制建设，完善</w:t>
      </w:r>
      <w:r>
        <w:rPr>
          <w:rFonts w:hint="eastAsia" w:ascii="仿宋" w:hAnsi="仿宋" w:eastAsia="仿宋" w:cs="仿宋"/>
          <w:kern w:val="2"/>
          <w:sz w:val="32"/>
          <w:szCs w:val="32"/>
          <w:lang w:val="en-US" w:eastAsia="zh-CN" w:bidi="ar-SA"/>
        </w:rPr>
        <w:t>应急管理领域人才引进政策、应急救援现场指挥部工作规则、应急救援队伍调动程序、社会应急救援组织管理办法等。</w:t>
      </w:r>
    </w:p>
    <w:p>
      <w:pPr>
        <w:pStyle w:val="6"/>
        <w:keepNext w:val="0"/>
        <w:keepLines w:val="0"/>
        <w:pageBreakBefore w:val="0"/>
        <w:widowControl w:val="0"/>
        <w:kinsoku/>
        <w:wordWrap/>
        <w:overflowPunct/>
        <w:topLinePunct w:val="0"/>
        <w:autoSpaceDE/>
        <w:autoSpaceDN/>
        <w:bidi w:val="0"/>
        <w:adjustRightInd/>
        <w:snapToGrid/>
        <w:spacing w:after="0"/>
        <w:textAlignment w:val="auto"/>
        <w:rPr>
          <w:rFonts w:hint="eastAsia"/>
          <w:b/>
          <w:bCs/>
          <w:lang w:val="en-US" w:eastAsia="zh-CN"/>
        </w:rPr>
      </w:pPr>
      <w:r>
        <w:rPr>
          <w:rFonts w:hint="eastAsia"/>
          <w:b/>
          <w:bCs/>
          <w:lang w:val="en-US" w:eastAsia="zh-CN"/>
        </w:rPr>
        <w:t>3.强化应急指挥。</w:t>
      </w:r>
      <w:r>
        <w:rPr>
          <w:rFonts w:hint="eastAsia" w:ascii="仿宋" w:hAnsi="仿宋" w:eastAsia="仿宋" w:cs="仿宋"/>
          <w:sz w:val="32"/>
          <w:szCs w:val="32"/>
          <w:lang w:val="en-US" w:eastAsia="zh-CN"/>
        </w:rPr>
        <w:t>进一步</w:t>
      </w:r>
      <w:r>
        <w:rPr>
          <w:rFonts w:hint="eastAsia" w:ascii="仿宋" w:hAnsi="仿宋" w:cs="仿宋"/>
          <w:sz w:val="32"/>
          <w:szCs w:val="32"/>
          <w:lang w:val="en-US" w:eastAsia="zh-CN"/>
        </w:rPr>
        <w:t>加强县级应急指挥中心和镇级应急指挥分中心建设，推动应急指挥</w:t>
      </w:r>
      <w:r>
        <w:rPr>
          <w:rFonts w:hint="eastAsia" w:ascii="仿宋" w:hAnsi="仿宋" w:eastAsia="仿宋" w:cs="仿宋"/>
          <w:sz w:val="32"/>
          <w:szCs w:val="32"/>
        </w:rPr>
        <w:t>上下联动</w:t>
      </w:r>
      <w:r>
        <w:rPr>
          <w:rFonts w:hint="eastAsia" w:ascii="仿宋" w:hAnsi="仿宋" w:cs="仿宋"/>
          <w:sz w:val="32"/>
          <w:szCs w:val="32"/>
          <w:lang w:eastAsia="zh-CN"/>
        </w:rPr>
        <w:t>、</w:t>
      </w:r>
      <w:r>
        <w:rPr>
          <w:rFonts w:hint="eastAsia" w:ascii="仿宋" w:hAnsi="仿宋" w:cs="仿宋"/>
          <w:sz w:val="32"/>
          <w:szCs w:val="32"/>
          <w:lang w:val="en-US" w:eastAsia="zh-CN"/>
        </w:rPr>
        <w:t>系统对接、数据交互、资源共享；</w:t>
      </w:r>
      <w:r>
        <w:rPr>
          <w:rFonts w:hint="eastAsia" w:ascii="仿宋" w:hAnsi="仿宋" w:eastAsia="仿宋" w:cs="仿宋"/>
          <w:sz w:val="32"/>
          <w:szCs w:val="32"/>
        </w:rPr>
        <w:t>进一步理顺</w:t>
      </w:r>
      <w:r>
        <w:rPr>
          <w:rFonts w:hint="eastAsia" w:ascii="仿宋" w:hAnsi="仿宋" w:cs="仿宋"/>
          <w:sz w:val="32"/>
          <w:szCs w:val="32"/>
          <w:lang w:eastAsia="zh-CN"/>
        </w:rPr>
        <w:t>和强化片区各镇在防汛</w:t>
      </w:r>
      <w:r>
        <w:rPr>
          <w:rFonts w:hint="eastAsia" w:ascii="仿宋" w:hAnsi="仿宋" w:eastAsia="仿宋" w:cs="仿宋"/>
          <w:sz w:val="32"/>
          <w:szCs w:val="32"/>
        </w:rPr>
        <w:t>抗旱、抗震救灾、森林防灭火等</w:t>
      </w:r>
      <w:r>
        <w:rPr>
          <w:rFonts w:hint="eastAsia" w:ascii="仿宋" w:hAnsi="仿宋" w:cs="仿宋"/>
          <w:sz w:val="32"/>
          <w:szCs w:val="32"/>
          <w:lang w:eastAsia="zh-CN"/>
        </w:rPr>
        <w:t>常态和应急两种工作运行机制；进一步建立和推动片区之间、乡镇之间指挥协同机制建设，努力提升跨区域联合应急、跨部门协同作战的综合能力</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kern w:val="2"/>
          <w:sz w:val="32"/>
          <w:szCs w:val="32"/>
          <w:lang w:val="en-US" w:eastAsia="zh-CN" w:bidi="ar-SA"/>
        </w:rPr>
      </w:pPr>
      <w:r>
        <w:rPr>
          <w:rFonts w:hint="eastAsia"/>
          <w:b/>
          <w:bCs/>
          <w:lang w:val="en-US" w:eastAsia="zh-CN"/>
        </w:rPr>
        <w:t>4.加强协同联动。</w:t>
      </w:r>
      <w:r>
        <w:rPr>
          <w:rFonts w:hint="eastAsia" w:ascii="仿宋" w:hAnsi="仿宋" w:eastAsia="仿宋" w:cs="仿宋"/>
          <w:kern w:val="2"/>
          <w:sz w:val="32"/>
          <w:szCs w:val="32"/>
          <w:lang w:val="en-US" w:eastAsia="zh-CN" w:bidi="ar-SA"/>
        </w:rPr>
        <w:t>推进片区</w:t>
      </w:r>
      <w:r>
        <w:rPr>
          <w:rFonts w:hint="eastAsia" w:ascii="仿宋" w:hAnsi="仿宋" w:cs="仿宋"/>
          <w:kern w:val="2"/>
          <w:sz w:val="32"/>
          <w:szCs w:val="32"/>
          <w:lang w:val="en-US" w:eastAsia="zh-CN" w:bidi="ar-SA"/>
        </w:rPr>
        <w:t>各镇之间统一调度、快速集结、密切协作、优势互补的战时协同合作机制；</w:t>
      </w:r>
      <w:r>
        <w:rPr>
          <w:rFonts w:hint="eastAsia" w:cs="Times New Roman"/>
          <w:szCs w:val="32"/>
        </w:rPr>
        <w:t>加强社会联动，有序引导各类社会救援队伍参与抢险救灾工作</w:t>
      </w:r>
      <w:r>
        <w:rPr>
          <w:rFonts w:hint="eastAsia" w:ascii="仿宋" w:hAnsi="仿宋" w:cs="仿宋"/>
          <w:kern w:val="2"/>
          <w:sz w:val="32"/>
          <w:szCs w:val="32"/>
          <w:lang w:val="en-US" w:eastAsia="zh-CN" w:bidi="ar-SA"/>
        </w:rPr>
        <w:t>。强化应急状态下各镇之间、乡镇与行业部门之间</w:t>
      </w:r>
      <w:r>
        <w:rPr>
          <w:rFonts w:hint="eastAsia" w:ascii="仿宋" w:hAnsi="仿宋" w:eastAsia="仿宋" w:cs="仿宋"/>
          <w:kern w:val="2"/>
          <w:sz w:val="32"/>
          <w:szCs w:val="32"/>
          <w:lang w:val="en-US" w:eastAsia="zh-CN" w:bidi="ar-SA"/>
        </w:rPr>
        <w:t>、重点救援队伍</w:t>
      </w:r>
      <w:r>
        <w:rPr>
          <w:rFonts w:hint="eastAsia" w:ascii="仿宋" w:hAnsi="仿宋" w:cs="仿宋"/>
          <w:kern w:val="2"/>
          <w:sz w:val="32"/>
          <w:szCs w:val="32"/>
          <w:lang w:val="en-US" w:eastAsia="zh-CN" w:bidi="ar-SA"/>
        </w:rPr>
        <w:t>、社会救援力量的</w:t>
      </w:r>
      <w:r>
        <w:rPr>
          <w:rFonts w:hint="eastAsia" w:ascii="仿宋" w:hAnsi="仿宋" w:eastAsia="仿宋" w:cs="仿宋"/>
          <w:kern w:val="2"/>
          <w:sz w:val="32"/>
          <w:szCs w:val="32"/>
          <w:lang w:val="en-US" w:eastAsia="zh-CN" w:bidi="ar-SA"/>
        </w:rPr>
        <w:t>互联互通、协调联动。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37" w:type="dxa"/>
          </w:tcPr>
          <w:p>
            <w:pPr>
              <w:pStyle w:val="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lang w:val="en-US" w:eastAsia="zh-CN"/>
              </w:rPr>
            </w:pPr>
            <w:r>
              <w:rPr>
                <w:rFonts w:hint="eastAsia"/>
                <w:b/>
                <w:bCs/>
                <w:lang w:val="en-US" w:eastAsia="zh-CN"/>
              </w:rPr>
              <w:t>专栏一  应急管理重点工程</w:t>
            </w:r>
          </w:p>
          <w:p>
            <w:pPr>
              <w:numPr>
                <w:ilvl w:val="0"/>
                <w:numId w:val="0"/>
              </w:numPr>
              <w:ind w:leftChars="200"/>
              <w:jc w:val="both"/>
              <w:rPr>
                <w:rFonts w:hint="eastAsia"/>
                <w:lang w:val="en-US" w:eastAsia="zh-CN"/>
              </w:rPr>
            </w:pPr>
            <w:r>
              <w:rPr>
                <w:rFonts w:hint="eastAsia"/>
                <w:lang w:val="en-US" w:eastAsia="zh-CN"/>
              </w:rPr>
              <w:t>工程1  片区应急指挥分中心建设工程</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ind w:firstLine="643" w:firstLineChars="200"/>
              <w:jc w:val="both"/>
              <w:textAlignment w:val="auto"/>
              <w:rPr>
                <w:rFonts w:hint="eastAsia"/>
                <w:lang w:val="en-US" w:eastAsia="zh-CN"/>
              </w:rPr>
            </w:pPr>
            <w:r>
              <w:rPr>
                <w:rFonts w:hint="eastAsia"/>
                <w:b/>
                <w:bCs/>
                <w:lang w:val="en-US" w:eastAsia="zh-CN"/>
              </w:rPr>
              <w:t>建设内容：</w:t>
            </w:r>
            <w:r>
              <w:rPr>
                <w:rFonts w:hint="eastAsia"/>
                <w:lang w:val="en-US" w:eastAsia="zh-CN"/>
              </w:rPr>
              <w:t>依托劳动镇、石佛镇现有镇级消防站资源，建设镇级应急指挥分中心，配备融合通信系统、多媒体会议系统、应急管理系统、媒体录制系统、调度台、智能终端、视频接入网关、集群接入网关、电话接入网关等。</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ind w:firstLine="643" w:firstLineChars="200"/>
              <w:jc w:val="both"/>
              <w:textAlignment w:val="auto"/>
              <w:rPr>
                <w:rFonts w:hint="eastAsia"/>
                <w:lang w:val="en-US" w:eastAsia="zh-CN"/>
              </w:rPr>
            </w:pPr>
            <w:r>
              <w:rPr>
                <w:rFonts w:hint="eastAsia"/>
                <w:b/>
                <w:bCs/>
                <w:lang w:val="en-US" w:eastAsia="zh-CN"/>
              </w:rPr>
              <w:t>项目功能</w:t>
            </w:r>
            <w:r>
              <w:rPr>
                <w:rFonts w:hint="eastAsia"/>
                <w:lang w:val="en-US" w:eastAsia="zh-CN"/>
              </w:rPr>
              <w:t>：形成片区内信息化应急决策网络，实现突发事件信息采集、传输、存储、危机判定、决策分析、命令部署、实时沟通、联动指挥、现场支持等功能的应急指挥系统。</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ind w:firstLine="643" w:firstLineChars="200"/>
              <w:jc w:val="both"/>
              <w:textAlignment w:val="auto"/>
              <w:rPr>
                <w:rFonts w:hint="default"/>
                <w:lang w:val="en-US" w:eastAsia="zh-CN"/>
              </w:rPr>
            </w:pPr>
            <w:r>
              <w:rPr>
                <w:rFonts w:hint="eastAsia"/>
                <w:b/>
                <w:bCs/>
                <w:lang w:val="en-US" w:eastAsia="zh-CN"/>
              </w:rPr>
              <w:t>建设地点</w:t>
            </w:r>
            <w:r>
              <w:rPr>
                <w:rFonts w:hint="eastAsia"/>
                <w:lang w:val="en-US" w:eastAsia="zh-CN"/>
              </w:rPr>
              <w:t>：</w:t>
            </w:r>
            <w:r>
              <w:rPr>
                <w:rFonts w:hint="eastAsia"/>
                <w:highlight w:val="none"/>
                <w:lang w:val="en-US" w:eastAsia="zh-CN"/>
              </w:rPr>
              <w:t>劳动镇、石佛镇</w:t>
            </w: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lang w:val="en-US" w:eastAsia="zh-CN"/>
              </w:rPr>
            </w:pPr>
            <w:r>
              <w:rPr>
                <w:rFonts w:hint="eastAsia"/>
                <w:lang w:val="en-US" w:eastAsia="zh-CN"/>
              </w:rPr>
              <w:t>建设地点：</w:t>
            </w:r>
            <w:r>
              <w:rPr>
                <w:rFonts w:hint="eastAsia"/>
                <w:highlight w:val="none"/>
                <w:lang w:val="en-US" w:eastAsia="zh-CN"/>
              </w:rPr>
              <w:t>劳动镇、石佛镇</w:t>
            </w:r>
          </w:p>
          <w:p>
            <w:pPr>
              <w:pStyle w:val="6"/>
              <w:keepNext w:val="0"/>
              <w:keepLines w:val="0"/>
              <w:pageBreakBefore w:val="0"/>
              <w:widowControl w:val="0"/>
              <w:kinsoku/>
              <w:wordWrap/>
              <w:overflowPunct/>
              <w:topLinePunct w:val="0"/>
              <w:autoSpaceDE/>
              <w:autoSpaceDN/>
              <w:bidi w:val="0"/>
              <w:adjustRightInd/>
              <w:snapToGrid/>
              <w:spacing w:after="0"/>
              <w:ind w:left="0" w:leftChars="0" w:firstLine="643" w:firstLineChars="200"/>
              <w:jc w:val="both"/>
              <w:textAlignment w:val="auto"/>
              <w:rPr>
                <w:rFonts w:hint="default"/>
                <w:lang w:val="en-US" w:eastAsia="zh-CN"/>
              </w:rPr>
            </w:pPr>
            <w:r>
              <w:rPr>
                <w:rFonts w:hint="eastAsia"/>
                <w:b/>
                <w:bCs/>
                <w:lang w:val="en-US" w:eastAsia="zh-CN"/>
              </w:rPr>
              <w:t>用地范围</w:t>
            </w:r>
            <w:r>
              <w:rPr>
                <w:rFonts w:hint="eastAsia"/>
                <w:lang w:val="en-US" w:eastAsia="zh-CN"/>
              </w:rPr>
              <w:t>：无新占地</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b/>
                <w:bCs/>
                <w:lang w:val="en-US" w:eastAsia="zh-CN"/>
              </w:rPr>
              <w:t>投资规模</w:t>
            </w:r>
            <w:r>
              <w:rPr>
                <w:rFonts w:hint="eastAsia"/>
                <w:lang w:val="en-US" w:eastAsia="zh-CN"/>
              </w:rPr>
              <w:t>：400万元</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b/>
                <w:bCs/>
                <w:lang w:val="en-US" w:eastAsia="zh-CN"/>
              </w:rPr>
              <w:t>责任单位</w:t>
            </w:r>
            <w:r>
              <w:rPr>
                <w:rFonts w:hint="eastAsia"/>
                <w:lang w:val="en-US" w:eastAsia="zh-CN"/>
              </w:rPr>
              <w:t>：县应急局、劳动、龙门、石佛镇政府</w:t>
            </w:r>
          </w:p>
          <w:p>
            <w:pPr>
              <w:pStyle w:val="6"/>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lang w:val="en-US" w:eastAsia="zh-CN"/>
              </w:rPr>
            </w:pPr>
          </w:p>
        </w:tc>
      </w:tr>
    </w:tbl>
    <w:p>
      <w:pPr>
        <w:bidi w:val="0"/>
        <w:rPr>
          <w:rFonts w:hint="eastAsia"/>
          <w:lang w:val="en-US" w:eastAsia="zh-CN"/>
        </w:rPr>
      </w:pPr>
      <w:bookmarkStart w:id="40" w:name="_Toc14809"/>
    </w:p>
    <w:p>
      <w:pPr>
        <w:pStyle w:val="2"/>
        <w:numPr>
          <w:ilvl w:val="0"/>
          <w:numId w:val="0"/>
        </w:numPr>
        <w:ind w:leftChars="0" w:firstLine="643" w:firstLineChars="200"/>
        <w:jc w:val="both"/>
        <w:rPr>
          <w:rFonts w:hint="eastAsia"/>
          <w:b/>
          <w:bCs w:val="0"/>
          <w:lang w:val="en-US" w:eastAsia="zh-CN"/>
        </w:rPr>
      </w:pPr>
      <w:r>
        <w:rPr>
          <w:rFonts w:hint="eastAsia"/>
          <w:b/>
          <w:bCs w:val="0"/>
          <w:lang w:val="en-US" w:eastAsia="zh-CN"/>
        </w:rPr>
        <w:t>（二）安全生产风险防控方面</w:t>
      </w:r>
      <w:bookmarkEnd w:id="40"/>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textAlignment w:val="auto"/>
        <w:rPr>
          <w:rFonts w:hint="default" w:ascii="仿宋" w:hAnsi="仿宋" w:eastAsia="仿宋" w:cs="仿宋"/>
          <w:b/>
          <w:bCs/>
          <w:sz w:val="32"/>
          <w:szCs w:val="32"/>
          <w:lang w:val="en-US" w:eastAsia="zh-CN"/>
        </w:rPr>
      </w:pPr>
      <w:r>
        <w:rPr>
          <w:rFonts w:hint="eastAsia"/>
          <w:b/>
          <w:bCs/>
          <w:lang w:val="en-US" w:eastAsia="zh-CN"/>
        </w:rPr>
        <w:t>1.加强监管能力。</w:t>
      </w:r>
      <w:r>
        <w:rPr>
          <w:rFonts w:hint="eastAsia" w:ascii="仿宋" w:hAnsi="仿宋" w:eastAsia="仿宋" w:cs="仿宋"/>
          <w:sz w:val="32"/>
          <w:szCs w:val="32"/>
        </w:rPr>
        <w:t>进一步健全监管体制，深化专项整治，强化</w:t>
      </w:r>
      <w:r>
        <w:rPr>
          <w:rFonts w:hint="eastAsia" w:ascii="仿宋" w:hAnsi="仿宋" w:cs="仿宋"/>
          <w:sz w:val="32"/>
          <w:szCs w:val="32"/>
          <w:lang w:val="en-US" w:eastAsia="zh-CN"/>
        </w:rPr>
        <w:t>安全生产</w:t>
      </w:r>
      <w:r>
        <w:rPr>
          <w:rFonts w:hint="eastAsia" w:ascii="仿宋" w:hAnsi="仿宋" w:eastAsia="仿宋" w:cs="仿宋"/>
          <w:sz w:val="32"/>
          <w:szCs w:val="32"/>
        </w:rPr>
        <w:t>、油气、烟花爆竹、长输管道等方面的风险管控。</w:t>
      </w:r>
      <w:r>
        <w:rPr>
          <w:rFonts w:hint="eastAsia" w:ascii="仿宋" w:hAnsi="仿宋" w:cs="仿宋"/>
          <w:sz w:val="32"/>
          <w:szCs w:val="32"/>
          <w:lang w:val="en-US" w:eastAsia="zh-CN"/>
        </w:rPr>
        <w:t>配齐行政执法装备，健全联合执法检查机制，提高监管执法效能。</w:t>
      </w:r>
    </w:p>
    <w:p>
      <w:pPr>
        <w:pStyle w:val="6"/>
        <w:keepNext w:val="0"/>
        <w:keepLines w:val="0"/>
        <w:pageBreakBefore w:val="0"/>
        <w:widowControl w:val="0"/>
        <w:kinsoku/>
        <w:wordWrap/>
        <w:overflowPunct/>
        <w:topLinePunct w:val="0"/>
        <w:autoSpaceDE/>
        <w:autoSpaceDN/>
        <w:bidi w:val="0"/>
        <w:adjustRightInd/>
        <w:snapToGrid/>
        <w:spacing w:after="0"/>
        <w:textAlignment w:val="auto"/>
        <w:rPr>
          <w:rFonts w:hint="eastAsia" w:ascii="仿宋" w:hAnsi="仿宋" w:eastAsia="仿宋" w:cs="仿宋"/>
          <w:kern w:val="2"/>
          <w:sz w:val="32"/>
          <w:szCs w:val="32"/>
          <w:lang w:val="en-US" w:eastAsia="zh-CN" w:bidi="ar-SA"/>
        </w:rPr>
      </w:pPr>
      <w:r>
        <w:rPr>
          <w:rFonts w:hint="eastAsia"/>
          <w:b/>
          <w:bCs/>
          <w:lang w:val="en-US" w:eastAsia="zh-CN"/>
        </w:rPr>
        <w:t>2.加强源头管控。</w:t>
      </w:r>
      <w:r>
        <w:rPr>
          <w:rFonts w:hint="eastAsia" w:ascii="仿宋" w:hAnsi="仿宋" w:eastAsia="仿宋" w:cs="仿宋"/>
          <w:kern w:val="2"/>
          <w:sz w:val="32"/>
          <w:szCs w:val="32"/>
          <w:lang w:val="en-US" w:eastAsia="zh-CN" w:bidi="ar-SA"/>
        </w:rPr>
        <w:t>以第一次全国自然灾害综合风险普查为基础，编制灾害风险区划和防治区划，强化自然灾害风险区划和各类规划的衔接，形成有效防控重大灾害风险的空间格局。</w:t>
      </w:r>
    </w:p>
    <w:p>
      <w:pPr>
        <w:pStyle w:val="6"/>
        <w:keepNext w:val="0"/>
        <w:keepLines w:val="0"/>
        <w:pageBreakBefore w:val="0"/>
        <w:widowControl w:val="0"/>
        <w:kinsoku/>
        <w:wordWrap/>
        <w:overflowPunct/>
        <w:topLinePunct w:val="0"/>
        <w:autoSpaceDE/>
        <w:autoSpaceDN/>
        <w:bidi w:val="0"/>
        <w:adjustRightInd/>
        <w:snapToGrid/>
        <w:spacing w:after="0"/>
        <w:textAlignment w:val="auto"/>
        <w:rPr>
          <w:rFonts w:hint="default" w:ascii="仿宋" w:hAnsi="仿宋" w:eastAsia="仿宋" w:cs="仿宋"/>
          <w:kern w:val="2"/>
          <w:sz w:val="32"/>
          <w:szCs w:val="32"/>
          <w:lang w:val="en-US" w:eastAsia="zh-CN" w:bidi="ar-SA"/>
        </w:rPr>
      </w:pPr>
      <w:r>
        <w:rPr>
          <w:rFonts w:hint="eastAsia"/>
          <w:b/>
          <w:bCs/>
          <w:lang w:val="en-US" w:eastAsia="zh-CN"/>
        </w:rPr>
        <w:t>3.加强风险监测。</w:t>
      </w:r>
      <w:r>
        <w:rPr>
          <w:rFonts w:hint="eastAsia" w:ascii="仿宋" w:hAnsi="仿宋" w:eastAsia="仿宋" w:cs="仿宋"/>
          <w:kern w:val="2"/>
          <w:sz w:val="32"/>
          <w:szCs w:val="32"/>
          <w:lang w:val="en-US" w:eastAsia="zh-CN" w:bidi="ar-SA"/>
        </w:rPr>
        <w:t>升级覆盖安全生产重点企业的监测预警网络。加快完善城乡安全风险监测预警公共信息平台，实现城乡安全风险监测预警“一网统管”</w:t>
      </w:r>
      <w:r>
        <w:rPr>
          <w:rFonts w:hint="eastAsia" w:ascii="仿宋" w:hAnsi="仿宋" w:cs="仿宋"/>
          <w:kern w:val="2"/>
          <w:sz w:val="32"/>
          <w:szCs w:val="32"/>
          <w:lang w:val="en-US" w:eastAsia="zh-CN" w:bidi="ar-SA"/>
        </w:rPr>
        <w:t>。</w:t>
      </w:r>
      <w:r>
        <w:rPr>
          <w:rFonts w:hint="eastAsia" w:ascii="仿宋" w:hAnsi="仿宋" w:eastAsia="仿宋" w:cs="仿宋"/>
          <w:kern w:val="2"/>
          <w:sz w:val="32"/>
          <w:szCs w:val="32"/>
          <w:lang w:val="en-US" w:eastAsia="zh-CN" w:bidi="ar-SA"/>
        </w:rPr>
        <w:t>优化自然灾害监测站网布局，完善综合风险预警与应急响应联动机制，建立重大活动风险提示和重大灾害性天气停工停课停业等制度。</w:t>
      </w:r>
      <w:r>
        <w:rPr>
          <w:rFonts w:hint="eastAsia" w:ascii="仿宋" w:hAnsi="仿宋" w:cs="仿宋"/>
          <w:kern w:val="2"/>
          <w:sz w:val="32"/>
          <w:szCs w:val="32"/>
          <w:lang w:val="en-US" w:eastAsia="zh-CN" w:bidi="ar-SA"/>
        </w:rPr>
        <w:t>严格执行“三项岗位人员”持证上岗，全面提升企业安全管理人员及特种作业人员的安全素养和安全操作技能。</w:t>
      </w:r>
    </w:p>
    <w:p>
      <w:pPr>
        <w:keepNext w:val="0"/>
        <w:keepLines w:val="0"/>
        <w:widowControl/>
        <w:suppressLineNumbers w:val="0"/>
        <w:jc w:val="left"/>
        <w:rPr>
          <w:rFonts w:hint="eastAsia"/>
          <w:b w:val="0"/>
          <w:bCs w:val="0"/>
          <w:lang w:val="en-US" w:eastAsia="zh-CN"/>
        </w:rPr>
      </w:pPr>
      <w:r>
        <w:rPr>
          <w:rFonts w:hint="eastAsia"/>
          <w:b/>
          <w:bCs/>
          <w:lang w:val="en-US" w:eastAsia="zh-CN"/>
        </w:rPr>
        <w:t>4.加强专项整治。</w:t>
      </w:r>
      <w:r>
        <w:rPr>
          <w:rFonts w:hint="eastAsia"/>
          <w:b w:val="0"/>
          <w:bCs w:val="0"/>
          <w:lang w:val="en-US" w:eastAsia="zh-CN"/>
        </w:rPr>
        <w:t>巩固提升安全生产专项整治三年行动成果，固化好的经验和做法。强化安全风险分类分级管控和隐患排查治理，建立公共安全隐患排查治理和安全预防控制体系，从源头上消除事故隐患。</w:t>
      </w:r>
    </w:p>
    <w:p>
      <w:pPr>
        <w:keepNext w:val="0"/>
        <w:keepLines w:val="0"/>
        <w:widowControl/>
        <w:suppressLineNumbers w:val="0"/>
        <w:jc w:val="left"/>
        <w:rPr>
          <w:rFonts w:hint="eastAsia"/>
          <w:b w:val="0"/>
          <w:bCs w:val="0"/>
          <w:lang w:val="en-US" w:eastAsia="zh-CN"/>
        </w:rPr>
      </w:pPr>
      <w:r>
        <w:rPr>
          <w:rFonts w:hint="eastAsia"/>
          <w:b w:val="0"/>
          <w:bCs w:val="0"/>
          <w:lang w:val="en-US" w:eastAsia="zh-CN"/>
        </w:rPr>
        <w:t>安全生产方面。将企业法定</w:t>
      </w:r>
      <w:r>
        <w:rPr>
          <w:rFonts w:hint="default"/>
          <w:b w:val="0"/>
          <w:bCs w:val="0"/>
          <w:lang w:val="en-US" w:eastAsia="zh-CN"/>
        </w:rPr>
        <w:t>代表人、实际控制人推到第一线，让他们亲自抓部署、亲自抓落实，向高标准看齐，向零事故、零伤亡努力，做到真查、真改、真落实。着重完善“四个体系”建设，即安全生产责任和管理制度体系、风险分级管控和隐患排查治理体系、安全生产标准化建设体系、安全生产激励约束体系建设</w:t>
      </w:r>
      <w:r>
        <w:rPr>
          <w:rFonts w:hint="eastAsia"/>
          <w:b w:val="0"/>
          <w:bCs w:val="0"/>
          <w:lang w:val="en-US" w:eastAsia="zh-CN"/>
        </w:rPr>
        <w:t>。</w:t>
      </w:r>
    </w:p>
    <w:p>
      <w:pPr>
        <w:pStyle w:val="6"/>
        <w:rPr>
          <w:rFonts w:hint="default"/>
          <w:lang w:val="en-US" w:eastAsia="zh-CN"/>
        </w:rPr>
      </w:pPr>
      <w:r>
        <w:rPr>
          <w:rFonts w:hint="eastAsia"/>
          <w:lang w:val="en-US" w:eastAsia="zh-CN"/>
        </w:rPr>
        <w:t>道路交通方面。深入实施公路安全生命防护工程，巩固提升县乡公路安全隐患治理效果，加快临水临崖、连续长陡下坡、急陡坡等隐患路段和危桥改造整治，推进实施干线公路灾害防治工程，全面清理整治农村“马路市场”。加强对老旧客车的重点监管，提高重载货车动力性能和制动性能，加强对货车辅助制动装置使用情况的监督检查。</w:t>
      </w:r>
    </w:p>
    <w:p>
      <w:pPr>
        <w:rPr>
          <w:rFonts w:hint="eastAsia"/>
          <w:lang w:val="en-US" w:eastAsia="zh-CN"/>
        </w:rPr>
      </w:pPr>
      <w:r>
        <w:rPr>
          <w:rFonts w:hint="eastAsia"/>
          <w:lang w:val="en-US" w:eastAsia="zh-CN"/>
        </w:rPr>
        <w:t>消防安全方面。组织开展打通消防“生命通道”工程，聚焦学校、医院、养老机构、老旧小区、景区景点、商业综合体等重点领域开展综合治理。突出龙门报国寺、陈毅故里景区等重点防火区域，全面落实差异化风险管控措施。</w:t>
      </w:r>
    </w:p>
    <w:p>
      <w:pPr>
        <w:pStyle w:val="6"/>
        <w:rPr>
          <w:rFonts w:hint="default"/>
          <w:b/>
          <w:bCs/>
          <w:lang w:val="en-US" w:eastAsia="zh-CN"/>
        </w:rPr>
      </w:pPr>
      <w:r>
        <w:rPr>
          <w:rFonts w:hint="eastAsia"/>
          <w:lang w:val="en-US" w:eastAsia="zh-CN"/>
        </w:rPr>
        <w:t>城市建设方面。全面排查挪用原有建筑物改建改用为酒店、饭店等人员聚集场所安全隐患，依法查处违法建设、违规改变建筑体结构或使用功能等造成安全隐患行为。完善燃气工程技术标准，健全燃气行业管理和事故防范长效机制。开展城乡自建房屋安全专项整治，依法打击违法违规行为。</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67" w:type="dxa"/>
          </w:tcPr>
          <w:p>
            <w:pPr>
              <w:pStyle w:val="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lang w:val="en-US" w:eastAsia="zh-CN"/>
              </w:rPr>
            </w:pPr>
            <w:r>
              <w:rPr>
                <w:rFonts w:hint="eastAsia"/>
                <w:b/>
                <w:bCs/>
                <w:lang w:val="en-US" w:eastAsia="zh-CN"/>
              </w:rPr>
              <w:t>专栏二  安全生产风险防控重点工程</w:t>
            </w:r>
          </w:p>
          <w:p>
            <w:pPr>
              <w:numPr>
                <w:ilvl w:val="0"/>
                <w:numId w:val="0"/>
              </w:numPr>
              <w:ind w:firstLine="640" w:firstLineChars="200"/>
              <w:jc w:val="both"/>
              <w:rPr>
                <w:rFonts w:hint="default"/>
                <w:lang w:val="en-US" w:eastAsia="zh-CN"/>
              </w:rPr>
            </w:pPr>
            <w:r>
              <w:rPr>
                <w:rFonts w:hint="eastAsia"/>
                <w:lang w:val="en-US" w:eastAsia="zh-CN"/>
              </w:rPr>
              <w:t>工程2  安全生产风险监测预警系统工程</w:t>
            </w:r>
          </w:p>
          <w:p>
            <w:pPr>
              <w:pStyle w:val="7"/>
              <w:numPr>
                <w:ilvl w:val="0"/>
                <w:numId w:val="0"/>
              </w:numPr>
              <w:ind w:firstLine="643" w:firstLineChars="200"/>
              <w:jc w:val="both"/>
              <w:rPr>
                <w:rFonts w:hint="eastAsia" w:ascii="Times New Roman" w:hAnsi="Times New Roman" w:eastAsia="仿宋" w:cs="Times New Roman"/>
                <w:kern w:val="2"/>
                <w:sz w:val="32"/>
                <w:szCs w:val="24"/>
                <w:lang w:val="en-US" w:eastAsia="zh-CN" w:bidi="ar-SA"/>
              </w:rPr>
            </w:pPr>
            <w:r>
              <w:rPr>
                <w:rFonts w:hint="eastAsia" w:ascii="Times New Roman" w:hAnsi="Times New Roman" w:eastAsia="仿宋" w:cs="Times New Roman"/>
                <w:b/>
                <w:bCs/>
                <w:kern w:val="2"/>
                <w:sz w:val="32"/>
                <w:szCs w:val="24"/>
                <w:lang w:val="en-US" w:eastAsia="zh-CN" w:bidi="ar-SA"/>
              </w:rPr>
              <w:t>建设内容：</w:t>
            </w:r>
            <w:r>
              <w:rPr>
                <w:rFonts w:hint="eastAsia" w:ascii="Times New Roman" w:hAnsi="Times New Roman" w:eastAsia="仿宋" w:cs="Times New Roman"/>
                <w:kern w:val="2"/>
                <w:sz w:val="32"/>
                <w:szCs w:val="24"/>
                <w:lang w:val="en-US" w:eastAsia="zh-CN" w:bidi="ar-SA"/>
              </w:rPr>
              <w:t>建设应急管理综合信息平台，包含开发电脑管理端和改造移动app端。</w:t>
            </w:r>
          </w:p>
          <w:p>
            <w:pPr>
              <w:pStyle w:val="7"/>
              <w:numPr>
                <w:ilvl w:val="0"/>
                <w:numId w:val="0"/>
              </w:numPr>
              <w:ind w:firstLine="643" w:firstLineChars="200"/>
              <w:jc w:val="both"/>
              <w:rPr>
                <w:rFonts w:hint="default" w:ascii="Times New Roman" w:hAnsi="Times New Roman" w:eastAsia="仿宋" w:cs="Times New Roman"/>
                <w:kern w:val="2"/>
                <w:sz w:val="32"/>
                <w:szCs w:val="24"/>
                <w:lang w:val="en-US" w:eastAsia="zh-CN" w:bidi="ar-SA"/>
              </w:rPr>
            </w:pPr>
            <w:r>
              <w:rPr>
                <w:rFonts w:hint="eastAsia" w:ascii="Times New Roman" w:hAnsi="Times New Roman" w:eastAsia="仿宋" w:cs="Times New Roman"/>
                <w:b/>
                <w:bCs/>
                <w:kern w:val="2"/>
                <w:sz w:val="32"/>
                <w:szCs w:val="24"/>
                <w:lang w:val="en-US" w:eastAsia="zh-CN" w:bidi="ar-SA"/>
              </w:rPr>
              <w:t>项目功能：</w:t>
            </w:r>
            <w:r>
              <w:rPr>
                <w:rFonts w:hint="eastAsia" w:ascii="Times New Roman" w:hAnsi="Times New Roman" w:eastAsia="仿宋" w:cs="Times New Roman"/>
                <w:kern w:val="2"/>
                <w:sz w:val="32"/>
                <w:szCs w:val="24"/>
                <w:lang w:val="en-US" w:eastAsia="zh-CN" w:bidi="ar-SA"/>
              </w:rPr>
              <w:t>电脑管理端具备动态监控安全风险管控措施落实、隐患排查任务推送、隐患排查治理情况跟踪监督、机制运行效果评估、异常状态自动预警及考核奖惩等功能；移动APP端具备隐患排查任务和预警信息接收、现场隐患排查情况实时上报、隐患治理全程跟踪等功能，实现重点单位与政府端数据互联互通。</w:t>
            </w:r>
          </w:p>
          <w:p>
            <w:pPr>
              <w:pStyle w:val="7"/>
              <w:numPr>
                <w:ilvl w:val="0"/>
                <w:numId w:val="0"/>
              </w:numPr>
              <w:ind w:firstLine="643" w:firstLineChars="200"/>
              <w:jc w:val="both"/>
              <w:rPr>
                <w:rFonts w:hint="default" w:ascii="Times New Roman" w:hAnsi="Times New Roman" w:eastAsia="仿宋" w:cs="Times New Roman"/>
                <w:kern w:val="2"/>
                <w:sz w:val="32"/>
                <w:szCs w:val="24"/>
                <w:lang w:val="en-US" w:eastAsia="zh-CN" w:bidi="ar-SA"/>
              </w:rPr>
            </w:pPr>
            <w:r>
              <w:rPr>
                <w:rFonts w:hint="eastAsia" w:ascii="Times New Roman" w:hAnsi="Times New Roman" w:eastAsia="仿宋" w:cs="Times New Roman"/>
                <w:b/>
                <w:bCs/>
                <w:kern w:val="2"/>
                <w:sz w:val="32"/>
                <w:szCs w:val="24"/>
                <w:lang w:val="en-US" w:eastAsia="zh-CN" w:bidi="ar-SA"/>
              </w:rPr>
              <w:t>建设地点：</w:t>
            </w:r>
            <w:r>
              <w:rPr>
                <w:rFonts w:hint="eastAsia" w:ascii="Times New Roman" w:hAnsi="Times New Roman" w:eastAsia="仿宋" w:cs="Times New Roman"/>
                <w:kern w:val="2"/>
                <w:sz w:val="32"/>
                <w:szCs w:val="24"/>
                <w:lang w:val="en-US" w:eastAsia="zh-CN" w:bidi="ar-SA"/>
              </w:rPr>
              <w:t>1家烟花爆竹企业、2家非煤矿山企业、2家加油站</w:t>
            </w:r>
          </w:p>
          <w:p>
            <w:pPr>
              <w:pStyle w:val="7"/>
              <w:numPr>
                <w:ilvl w:val="0"/>
                <w:numId w:val="0"/>
              </w:numPr>
              <w:ind w:firstLine="643" w:firstLineChars="200"/>
              <w:jc w:val="both"/>
              <w:rPr>
                <w:rFonts w:hint="eastAsia" w:ascii="Times New Roman" w:hAnsi="Times New Roman" w:eastAsia="仿宋" w:cs="Times New Roman"/>
                <w:kern w:val="2"/>
                <w:sz w:val="32"/>
                <w:szCs w:val="24"/>
                <w:lang w:val="en-US" w:eastAsia="zh-CN" w:bidi="ar-SA"/>
              </w:rPr>
            </w:pPr>
            <w:r>
              <w:rPr>
                <w:rFonts w:hint="eastAsia" w:ascii="Times New Roman" w:hAnsi="Times New Roman" w:eastAsia="仿宋" w:cs="Times New Roman"/>
                <w:b/>
                <w:bCs/>
                <w:kern w:val="2"/>
                <w:sz w:val="32"/>
                <w:szCs w:val="24"/>
                <w:lang w:val="en-US" w:eastAsia="zh-CN" w:bidi="ar-SA"/>
              </w:rPr>
              <w:t>用地范围</w:t>
            </w:r>
            <w:r>
              <w:rPr>
                <w:rFonts w:hint="eastAsia" w:ascii="Times New Roman" w:hAnsi="Times New Roman" w:eastAsia="仿宋" w:cs="Times New Roman"/>
                <w:kern w:val="2"/>
                <w:sz w:val="32"/>
                <w:szCs w:val="24"/>
                <w:lang w:val="en-US" w:eastAsia="zh-CN" w:bidi="ar-SA"/>
              </w:rPr>
              <w:t>：无新占地</w:t>
            </w:r>
          </w:p>
          <w:p>
            <w:pPr>
              <w:pStyle w:val="7"/>
              <w:numPr>
                <w:ilvl w:val="0"/>
                <w:numId w:val="0"/>
              </w:numPr>
              <w:ind w:firstLine="643" w:firstLineChars="200"/>
              <w:jc w:val="both"/>
              <w:rPr>
                <w:rFonts w:hint="eastAsia" w:ascii="Times New Roman" w:hAnsi="Times New Roman" w:eastAsia="仿宋" w:cs="Times New Roman"/>
                <w:kern w:val="2"/>
                <w:sz w:val="32"/>
                <w:szCs w:val="24"/>
                <w:lang w:val="en-US" w:eastAsia="zh-CN" w:bidi="ar-SA"/>
              </w:rPr>
            </w:pPr>
            <w:r>
              <w:rPr>
                <w:rFonts w:hint="eastAsia" w:ascii="Times New Roman" w:hAnsi="Times New Roman" w:eastAsia="仿宋" w:cs="Times New Roman"/>
                <w:b/>
                <w:bCs/>
                <w:kern w:val="2"/>
                <w:sz w:val="32"/>
                <w:szCs w:val="24"/>
                <w:lang w:val="en-US" w:eastAsia="zh-CN" w:bidi="ar-SA"/>
              </w:rPr>
              <w:t>责任单位：</w:t>
            </w:r>
            <w:r>
              <w:rPr>
                <w:rFonts w:hint="eastAsia" w:ascii="Times New Roman" w:hAnsi="Times New Roman" w:eastAsia="仿宋" w:cs="Times New Roman"/>
                <w:kern w:val="2"/>
                <w:sz w:val="32"/>
                <w:szCs w:val="24"/>
                <w:lang w:val="en-US" w:eastAsia="zh-CN" w:bidi="ar-SA"/>
              </w:rPr>
              <w:t>县应急管理局、各乡镇政府、重点单位</w:t>
            </w:r>
          </w:p>
          <w:p>
            <w:pPr>
              <w:pStyle w:val="7"/>
              <w:numPr>
                <w:ilvl w:val="0"/>
                <w:numId w:val="0"/>
              </w:numPr>
              <w:ind w:firstLine="643" w:firstLineChars="200"/>
              <w:jc w:val="both"/>
              <w:rPr>
                <w:rFonts w:hint="eastAsia" w:ascii="Times New Roman" w:hAnsi="Times New Roman" w:eastAsia="仿宋" w:cs="Times New Roman"/>
                <w:kern w:val="2"/>
                <w:sz w:val="32"/>
                <w:szCs w:val="24"/>
                <w:lang w:val="en-US" w:eastAsia="zh-CN" w:bidi="ar-SA"/>
              </w:rPr>
            </w:pPr>
            <w:r>
              <w:rPr>
                <w:rFonts w:hint="eastAsia" w:ascii="Times New Roman" w:hAnsi="Times New Roman" w:eastAsia="仿宋" w:cs="Times New Roman"/>
                <w:b/>
                <w:bCs/>
                <w:kern w:val="2"/>
                <w:sz w:val="32"/>
                <w:szCs w:val="24"/>
                <w:lang w:val="en-US" w:eastAsia="zh-CN" w:bidi="ar-SA"/>
              </w:rPr>
              <w:t>完成期限：</w:t>
            </w:r>
            <w:r>
              <w:rPr>
                <w:rFonts w:hint="eastAsia" w:ascii="Times New Roman" w:hAnsi="Times New Roman" w:eastAsia="仿宋" w:cs="Times New Roman"/>
                <w:kern w:val="2"/>
                <w:sz w:val="32"/>
                <w:szCs w:val="24"/>
                <w:lang w:val="en-US" w:eastAsia="zh-CN" w:bidi="ar-SA"/>
              </w:rPr>
              <w:t>2025年前</w:t>
            </w:r>
          </w:p>
          <w:p>
            <w:pPr>
              <w:pStyle w:val="6"/>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ascii="Times New Roman" w:hAnsi="Times New Roman" w:eastAsia="仿宋" w:cs="Times New Roman"/>
                <w:b/>
                <w:bCs/>
                <w:kern w:val="2"/>
                <w:sz w:val="32"/>
                <w:szCs w:val="24"/>
                <w:lang w:val="en-US" w:eastAsia="zh-CN" w:bidi="ar-SA"/>
              </w:rPr>
              <w:t>经费估算</w:t>
            </w:r>
            <w:r>
              <w:rPr>
                <w:rFonts w:hint="eastAsia" w:ascii="Times New Roman" w:hAnsi="Times New Roman" w:eastAsia="仿宋" w:cs="Times New Roman"/>
                <w:kern w:val="2"/>
                <w:sz w:val="32"/>
                <w:szCs w:val="24"/>
                <w:lang w:val="en-US" w:eastAsia="zh-CN" w:bidi="ar-SA"/>
              </w:rPr>
              <w:t>：50万元</w:t>
            </w:r>
          </w:p>
        </w:tc>
      </w:tr>
    </w:tbl>
    <w:p>
      <w:pPr>
        <w:bidi w:val="0"/>
        <w:rPr>
          <w:rFonts w:hint="eastAsia"/>
          <w:lang w:val="en-US" w:eastAsia="zh-CN"/>
        </w:rPr>
      </w:pPr>
      <w:bookmarkStart w:id="41" w:name="_Toc29628"/>
    </w:p>
    <w:p>
      <w:pPr>
        <w:pStyle w:val="2"/>
        <w:numPr>
          <w:ilvl w:val="0"/>
          <w:numId w:val="0"/>
        </w:numPr>
        <w:ind w:firstLine="643" w:firstLineChars="200"/>
        <w:jc w:val="both"/>
        <w:rPr>
          <w:rFonts w:hint="eastAsia"/>
          <w:b/>
          <w:bCs w:val="0"/>
          <w:lang w:val="en-US" w:eastAsia="zh-CN"/>
        </w:rPr>
      </w:pPr>
      <w:r>
        <w:rPr>
          <w:rFonts w:hint="eastAsia"/>
          <w:b/>
          <w:bCs w:val="0"/>
          <w:lang w:val="en-US" w:eastAsia="zh-CN"/>
        </w:rPr>
        <w:t>（三）自然灾害防治方面</w:t>
      </w:r>
      <w:bookmarkEnd w:id="41"/>
    </w:p>
    <w:p>
      <w:pPr>
        <w:pStyle w:val="6"/>
        <w:rPr>
          <w:rFonts w:hint="eastAsia"/>
          <w:lang w:val="en-US" w:eastAsia="zh-CN"/>
        </w:rPr>
      </w:pPr>
      <w:r>
        <w:rPr>
          <w:rFonts w:hint="eastAsia"/>
          <w:b/>
          <w:bCs/>
          <w:lang w:val="en-US" w:eastAsia="zh-CN"/>
        </w:rPr>
        <w:t>1.强化风险监测预警</w:t>
      </w:r>
      <w:r>
        <w:rPr>
          <w:rFonts w:hint="eastAsia"/>
          <w:lang w:val="en-US" w:eastAsia="zh-CN"/>
        </w:rPr>
        <w:t>。用好全国第一次自然灾害综合风险普查成果，整合部门资源，推进灾害事故监测站网建设，逐步完善洪涝、干旱、森林火灾、地质等灾害的实时综合监测。健全片区灾害事故预报预警体系，完善灾害信息快速报送系统，提高灾害事故预报预警信息发布（转发）的精准性、时效性和公众覆盖率。完善应急、交通、卫生、水务、气象等相关部门自然灾害监测信息的互通与会商制度。</w:t>
      </w:r>
    </w:p>
    <w:p>
      <w:pPr>
        <w:rPr>
          <w:rFonts w:hint="default"/>
          <w:highlight w:val="none"/>
          <w:lang w:val="en-US" w:eastAsia="zh-CN"/>
        </w:rPr>
      </w:pPr>
      <w:r>
        <w:rPr>
          <w:rFonts w:hint="eastAsia"/>
          <w:b/>
          <w:bCs/>
          <w:lang w:val="en-US" w:eastAsia="zh-CN"/>
        </w:rPr>
        <w:t>2.提升自然灾害防御能力</w:t>
      </w:r>
      <w:r>
        <w:rPr>
          <w:rFonts w:hint="eastAsia"/>
          <w:lang w:val="en-US" w:eastAsia="zh-CN"/>
        </w:rPr>
        <w:t>。洪涝灾害方面，加强</w:t>
      </w:r>
      <w:r>
        <w:rPr>
          <w:rFonts w:hint="eastAsia"/>
          <w:b w:val="0"/>
          <w:bCs w:val="0"/>
          <w:lang w:val="en-US" w:eastAsia="zh-CN"/>
        </w:rPr>
        <w:t>琼江河、阳化河、大蒙溪河、蟠龙河等河流治理，推进病险水库、山洪灾害防治。</w:t>
      </w:r>
      <w:r>
        <w:rPr>
          <w:rFonts w:hint="eastAsia"/>
          <w:lang w:val="en-US" w:eastAsia="zh-CN"/>
        </w:rPr>
        <w:t>干旱灾害方面，推进蓄水池、备用水源工程项目建设，增强紧急情况下应急供水能力。</w:t>
      </w:r>
      <w:r>
        <w:rPr>
          <w:rFonts w:hint="eastAsia"/>
          <w:highlight w:val="none"/>
          <w:lang w:val="en-US" w:eastAsia="zh-CN"/>
        </w:rPr>
        <w:t>森林火灾方面，加强森林灭火基础设施建设，建立健全智能高效的监测监控体系和快速反应扑救体系，提高科学处置森林火灾的能力和水平。</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5" w:hRule="atLeast"/>
        </w:trPr>
        <w:tc>
          <w:tcPr>
            <w:tcW w:w="8952" w:type="dxa"/>
          </w:tcPr>
          <w:p>
            <w:pPr>
              <w:keepNext w:val="0"/>
              <w:keepLines w:val="0"/>
              <w:pageBreakBefore w:val="0"/>
              <w:widowControl w:val="0"/>
              <w:numPr>
                <w:ilvl w:val="0"/>
                <w:numId w:val="0"/>
              </w:numPr>
              <w:kinsoku/>
              <w:wordWrap/>
              <w:overflowPunct/>
              <w:topLinePunct w:val="0"/>
              <w:autoSpaceDE/>
              <w:autoSpaceDN/>
              <w:bidi w:val="0"/>
              <w:adjustRightInd/>
              <w:snapToGrid/>
              <w:ind w:firstLine="1920" w:firstLineChars="600"/>
              <w:jc w:val="both"/>
              <w:textAlignment w:val="auto"/>
              <w:rPr>
                <w:rFonts w:hint="eastAsia"/>
                <w:lang w:val="en-US" w:eastAsia="zh-CN"/>
              </w:rPr>
            </w:pPr>
            <w:r>
              <w:rPr>
                <w:rFonts w:hint="eastAsia"/>
                <w:lang w:val="en-US" w:eastAsia="zh-CN"/>
              </w:rPr>
              <w:t>工程3 防汛抗旱水利提升工程</w:t>
            </w:r>
          </w:p>
          <w:p>
            <w:pPr>
              <w:pStyle w:val="6"/>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b/>
                <w:bCs/>
                <w:lang w:val="en-US" w:eastAsia="zh-CN"/>
              </w:rPr>
              <w:t>建设内容</w:t>
            </w:r>
            <w:r>
              <w:rPr>
                <w:rFonts w:hint="eastAsia"/>
                <w:lang w:val="en-US" w:eastAsia="zh-CN"/>
              </w:rPr>
              <w:t>：继续完成劳动镇剩余1座均质土坝水库除险加固；对石佛镇蟠龙河水库防洪治理工程开展安全评价工作，并进行防渗、加高、加宽等加固措施；对蟠龙河蟠龙段、石佛段进行防洪综合治理；对宝林镇、龙门镇老旧灌排设施进行维修。</w:t>
            </w:r>
          </w:p>
          <w:p>
            <w:pPr>
              <w:pStyle w:val="6"/>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b/>
                <w:bCs/>
                <w:lang w:val="en-US" w:eastAsia="zh-CN"/>
              </w:rPr>
              <w:t>项目功能</w:t>
            </w:r>
            <w:r>
              <w:rPr>
                <w:rFonts w:hint="eastAsia"/>
                <w:lang w:val="en-US" w:eastAsia="zh-CN"/>
              </w:rPr>
              <w:t>：加强病险水库除险加固和山洪灾害防治，消除水库安全隐患，提高片区防洪抗洪能力。</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b/>
                <w:bCs/>
                <w:lang w:val="en-US" w:eastAsia="zh-CN"/>
              </w:rPr>
              <w:t>建设地点</w:t>
            </w:r>
            <w:r>
              <w:rPr>
                <w:rFonts w:hint="eastAsia"/>
                <w:lang w:val="en-US" w:eastAsia="zh-CN"/>
              </w:rPr>
              <w:t>：劳动镇、石佛镇、蟠龙镇、宝林镇、龙门镇</w:t>
            </w:r>
          </w:p>
          <w:p>
            <w:pPr>
              <w:pStyle w:val="6"/>
              <w:keepNext w:val="0"/>
              <w:keepLines w:val="0"/>
              <w:pageBreakBefore w:val="0"/>
              <w:widowControl w:val="0"/>
              <w:kinsoku/>
              <w:wordWrap/>
              <w:overflowPunct/>
              <w:topLinePunct w:val="0"/>
              <w:autoSpaceDE/>
              <w:autoSpaceDN/>
              <w:bidi w:val="0"/>
              <w:adjustRightInd/>
              <w:snapToGrid/>
              <w:spacing w:after="0"/>
              <w:ind w:left="0" w:leftChars="0" w:firstLine="643" w:firstLineChars="200"/>
              <w:jc w:val="both"/>
              <w:textAlignment w:val="auto"/>
              <w:rPr>
                <w:rFonts w:hint="default"/>
                <w:lang w:val="en-US" w:eastAsia="zh-CN"/>
              </w:rPr>
            </w:pPr>
            <w:r>
              <w:rPr>
                <w:rFonts w:hint="eastAsia"/>
                <w:b/>
                <w:bCs/>
                <w:lang w:val="en-US" w:eastAsia="zh-CN"/>
              </w:rPr>
              <w:t>用地范围</w:t>
            </w:r>
            <w:r>
              <w:rPr>
                <w:rFonts w:hint="eastAsia"/>
                <w:lang w:val="en-US" w:eastAsia="zh-CN"/>
              </w:rPr>
              <w:t>：约2亩</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b/>
                <w:bCs/>
                <w:lang w:val="en-US" w:eastAsia="zh-CN"/>
              </w:rPr>
              <w:t>投资规模</w:t>
            </w:r>
            <w:r>
              <w:rPr>
                <w:rFonts w:hint="eastAsia"/>
                <w:lang w:val="en-US" w:eastAsia="zh-CN"/>
              </w:rPr>
              <w:t>：500万</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b/>
                <w:bCs/>
                <w:lang w:val="en-US" w:eastAsia="zh-CN"/>
              </w:rPr>
              <w:t>责任单位</w:t>
            </w:r>
            <w:r>
              <w:rPr>
                <w:rFonts w:hint="eastAsia"/>
                <w:lang w:val="en-US" w:eastAsia="zh-CN"/>
              </w:rPr>
              <w:t>：县水务局、片区各镇政府</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1920" w:firstLineChars="600"/>
              <w:jc w:val="both"/>
              <w:textAlignment w:val="auto"/>
              <w:rPr>
                <w:rFonts w:hint="eastAsia"/>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lang w:val="en-US" w:eastAsia="zh-CN"/>
              </w:rPr>
            </w:pPr>
            <w:r>
              <w:rPr>
                <w:rFonts w:hint="eastAsia"/>
                <w:lang w:val="en-US" w:eastAsia="zh-CN"/>
              </w:rPr>
              <w:t>工程4 森林防灭火基础设施建设工程</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ind w:firstLine="643" w:firstLineChars="200"/>
              <w:jc w:val="both"/>
              <w:textAlignment w:val="auto"/>
              <w:rPr>
                <w:rFonts w:hint="eastAsia"/>
                <w:lang w:val="en-US" w:eastAsia="zh-CN"/>
              </w:rPr>
            </w:pPr>
            <w:r>
              <w:rPr>
                <w:rFonts w:hint="eastAsia"/>
                <w:b/>
                <w:bCs/>
                <w:lang w:val="en-US" w:eastAsia="zh-CN"/>
              </w:rPr>
              <w:t>建设内容</w:t>
            </w:r>
            <w:r>
              <w:rPr>
                <w:rFonts w:hint="eastAsia"/>
                <w:lang w:val="en-US" w:eastAsia="zh-CN"/>
              </w:rPr>
              <w:t>：在石佛镇新建一个覆盖方圆5公里的监测预警系统；在龙门镇白龙村、龙门镇报国寺村、劳动镇旧居村、蟠龙镇黑堰塘村新建4个卡口监控系统、4个防火检查站；新建/改建10处消防水池，新建林火视频监控系统2套。</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ind w:firstLine="643" w:firstLineChars="200"/>
              <w:jc w:val="both"/>
              <w:textAlignment w:val="auto"/>
              <w:rPr>
                <w:rFonts w:hint="default"/>
                <w:lang w:val="en-US" w:eastAsia="zh-CN"/>
              </w:rPr>
            </w:pPr>
            <w:r>
              <w:rPr>
                <w:rFonts w:hint="eastAsia"/>
                <w:b/>
                <w:bCs/>
                <w:lang w:val="en-US" w:eastAsia="zh-CN"/>
              </w:rPr>
              <w:t>项目功能</w:t>
            </w:r>
            <w:r>
              <w:rPr>
                <w:rFonts w:hint="eastAsia"/>
                <w:lang w:val="en-US" w:eastAsia="zh-CN"/>
              </w:rPr>
              <w:t>：加强森林防灭火基础设施建设，建立健全智能高效的监测监控体系和快速反应的扑救体系，提高科学处置森林火灾的能力和水平。</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val="en-US" w:eastAsia="zh-CN"/>
              </w:rPr>
            </w:pPr>
            <w:r>
              <w:rPr>
                <w:rFonts w:hint="eastAsia"/>
                <w:b/>
                <w:bCs/>
                <w:lang w:val="en-US" w:eastAsia="zh-CN"/>
              </w:rPr>
              <w:t>建设地点</w:t>
            </w:r>
            <w:r>
              <w:rPr>
                <w:rFonts w:hint="eastAsia"/>
                <w:lang w:val="en-US" w:eastAsia="zh-CN"/>
              </w:rPr>
              <w:t>：白龙村、报国寺村、旧居村、黑堰塘村、重点森林防火区域</w:t>
            </w:r>
          </w:p>
          <w:p>
            <w:pPr>
              <w:pStyle w:val="6"/>
              <w:keepNext w:val="0"/>
              <w:keepLines w:val="0"/>
              <w:pageBreakBefore w:val="0"/>
              <w:widowControl w:val="0"/>
              <w:kinsoku/>
              <w:wordWrap/>
              <w:overflowPunct/>
              <w:topLinePunct w:val="0"/>
              <w:autoSpaceDE/>
              <w:autoSpaceDN/>
              <w:bidi w:val="0"/>
              <w:adjustRightInd/>
              <w:snapToGrid/>
              <w:spacing w:after="0"/>
              <w:ind w:left="0" w:leftChars="0" w:firstLine="643" w:firstLineChars="200"/>
              <w:jc w:val="both"/>
              <w:textAlignment w:val="auto"/>
              <w:rPr>
                <w:rFonts w:hint="default"/>
                <w:lang w:val="en-US" w:eastAsia="zh-CN"/>
              </w:rPr>
            </w:pPr>
            <w:r>
              <w:rPr>
                <w:rFonts w:hint="eastAsia"/>
                <w:b/>
                <w:bCs/>
                <w:lang w:val="en-US" w:eastAsia="zh-CN"/>
              </w:rPr>
              <w:t>用地范围</w:t>
            </w:r>
            <w:r>
              <w:rPr>
                <w:rFonts w:hint="eastAsia"/>
                <w:lang w:val="en-US" w:eastAsia="zh-CN"/>
              </w:rPr>
              <w:t>：无新占地</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b/>
                <w:bCs/>
                <w:lang w:val="en-US" w:eastAsia="zh-CN"/>
              </w:rPr>
              <w:t>投资规模</w:t>
            </w:r>
            <w:r>
              <w:rPr>
                <w:rFonts w:hint="eastAsia"/>
                <w:lang w:val="en-US" w:eastAsia="zh-CN"/>
              </w:rPr>
              <w:t>：100万</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b/>
                <w:bCs/>
                <w:lang w:val="en-US" w:eastAsia="zh-CN"/>
              </w:rPr>
              <w:t>责任单位</w:t>
            </w:r>
            <w:r>
              <w:rPr>
                <w:rFonts w:hint="eastAsia"/>
                <w:lang w:val="en-US" w:eastAsia="zh-CN"/>
              </w:rPr>
              <w:t>：县林业局、县农业农村局、片区各镇政府</w:t>
            </w:r>
          </w:p>
        </w:tc>
      </w:tr>
    </w:tbl>
    <w:p>
      <w:pPr>
        <w:pStyle w:val="2"/>
        <w:numPr>
          <w:ilvl w:val="0"/>
          <w:numId w:val="0"/>
        </w:numPr>
        <w:ind w:leftChars="0" w:firstLine="643" w:firstLineChars="200"/>
        <w:jc w:val="both"/>
        <w:rPr>
          <w:rFonts w:hint="eastAsia"/>
          <w:b/>
          <w:bCs w:val="0"/>
          <w:lang w:val="en-US" w:eastAsia="zh-CN"/>
        </w:rPr>
      </w:pPr>
      <w:bookmarkStart w:id="42" w:name="_Toc1886"/>
      <w:r>
        <w:rPr>
          <w:rFonts w:hint="eastAsia"/>
          <w:b/>
          <w:bCs w:val="0"/>
          <w:lang w:val="en-US" w:eastAsia="zh-CN"/>
        </w:rPr>
        <w:t>（四）应急能力建设方面</w:t>
      </w:r>
      <w:bookmarkEnd w:id="42"/>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textAlignment w:val="auto"/>
        <w:rPr>
          <w:rFonts w:hint="default" w:ascii="仿宋" w:hAnsi="仿宋" w:eastAsia="仿宋" w:cs="仿宋"/>
          <w:b/>
          <w:bCs/>
          <w:sz w:val="32"/>
          <w:szCs w:val="32"/>
          <w:lang w:val="en-US" w:eastAsia="zh-CN"/>
        </w:rPr>
      </w:pPr>
      <w:r>
        <w:rPr>
          <w:rFonts w:hint="eastAsia"/>
          <w:b/>
          <w:bCs/>
          <w:lang w:val="en-US" w:eastAsia="zh-CN"/>
        </w:rPr>
        <w:t>1.应急队伍建设。</w:t>
      </w:r>
      <w:r>
        <w:rPr>
          <w:rFonts w:hint="eastAsia" w:ascii="仿宋" w:hAnsi="仿宋" w:eastAsia="仿宋" w:cs="仿宋"/>
          <w:sz w:val="32"/>
          <w:szCs w:val="32"/>
        </w:rPr>
        <w:t>一是积极适应“全灾种、大应急”综合救援需要，优化力量布局和队伍编成，填补救援力量空白，补齐救援力量短板</w:t>
      </w:r>
      <w:r>
        <w:rPr>
          <w:rFonts w:hint="eastAsia" w:ascii="仿宋" w:hAnsi="仿宋" w:eastAsia="仿宋" w:cs="仿宋"/>
          <w:sz w:val="32"/>
          <w:szCs w:val="32"/>
          <w:lang w:eastAsia="zh-CN"/>
        </w:rPr>
        <w:t>；</w:t>
      </w:r>
      <w:r>
        <w:rPr>
          <w:rFonts w:hint="eastAsia" w:ascii="仿宋" w:hAnsi="仿宋" w:eastAsia="仿宋" w:cs="仿宋"/>
          <w:sz w:val="32"/>
          <w:szCs w:val="32"/>
        </w:rPr>
        <w:t>二是加强</w:t>
      </w:r>
      <w:r>
        <w:rPr>
          <w:rFonts w:hint="eastAsia" w:ascii="仿宋" w:hAnsi="仿宋" w:cs="仿宋"/>
          <w:sz w:val="32"/>
          <w:szCs w:val="32"/>
          <w:lang w:val="en-US" w:eastAsia="zh-CN"/>
        </w:rPr>
        <w:t>城镇</w:t>
      </w:r>
      <w:r>
        <w:rPr>
          <w:rFonts w:hint="eastAsia" w:ascii="仿宋" w:hAnsi="仿宋" w:eastAsia="仿宋" w:cs="仿宋"/>
          <w:sz w:val="32"/>
          <w:szCs w:val="32"/>
        </w:rPr>
        <w:t>建筑、</w:t>
      </w:r>
      <w:r>
        <w:rPr>
          <w:rFonts w:hint="eastAsia" w:ascii="仿宋" w:hAnsi="仿宋" w:cs="仿宋"/>
          <w:sz w:val="32"/>
          <w:szCs w:val="32"/>
          <w:lang w:val="en-US" w:eastAsia="zh-CN"/>
        </w:rPr>
        <w:t>商业综合体</w:t>
      </w:r>
      <w:r>
        <w:rPr>
          <w:rFonts w:hint="eastAsia" w:ascii="仿宋" w:hAnsi="仿宋" w:eastAsia="仿宋" w:cs="仿宋"/>
          <w:sz w:val="32"/>
          <w:szCs w:val="32"/>
        </w:rPr>
        <w:t>、</w:t>
      </w:r>
      <w:r>
        <w:rPr>
          <w:rFonts w:hint="eastAsia" w:ascii="仿宋" w:hAnsi="仿宋" w:cs="仿宋"/>
          <w:sz w:val="32"/>
          <w:szCs w:val="32"/>
          <w:lang w:val="en-US" w:eastAsia="zh-CN"/>
        </w:rPr>
        <w:t>加油站</w:t>
      </w:r>
      <w:r>
        <w:rPr>
          <w:rFonts w:hint="eastAsia" w:ascii="仿宋" w:hAnsi="仿宋" w:eastAsia="仿宋" w:cs="仿宋"/>
          <w:sz w:val="32"/>
          <w:szCs w:val="32"/>
        </w:rPr>
        <w:t>、森林草原火灾扑救和地震、水域、山岳等专业救援力量建设，形成一批机动和拳头力量</w:t>
      </w:r>
      <w:r>
        <w:rPr>
          <w:rFonts w:hint="eastAsia" w:ascii="仿宋" w:hAnsi="仿宋" w:eastAsia="仿宋" w:cs="仿宋"/>
          <w:sz w:val="32"/>
          <w:szCs w:val="32"/>
          <w:lang w:eastAsia="zh-CN"/>
        </w:rPr>
        <w:t>；</w:t>
      </w:r>
      <w:r>
        <w:rPr>
          <w:rFonts w:hint="eastAsia" w:ascii="仿宋" w:hAnsi="仿宋" w:eastAsia="仿宋" w:cs="仿宋"/>
          <w:sz w:val="32"/>
          <w:szCs w:val="32"/>
        </w:rPr>
        <w:t>三是大力发展政府专职消防队伍和志愿消防队伍，加强城市消防站和乡镇消防队建设。</w:t>
      </w:r>
    </w:p>
    <w:p>
      <w:pPr>
        <w:pStyle w:val="6"/>
        <w:keepNext w:val="0"/>
        <w:keepLines w:val="0"/>
        <w:pageBreakBefore w:val="0"/>
        <w:widowControl w:val="0"/>
        <w:kinsoku/>
        <w:wordWrap/>
        <w:overflowPunct/>
        <w:topLinePunct w:val="0"/>
        <w:autoSpaceDE/>
        <w:autoSpaceDN/>
        <w:bidi w:val="0"/>
        <w:adjustRightInd/>
        <w:snapToGrid/>
        <w:spacing w:after="0"/>
        <w:textAlignment w:val="auto"/>
        <w:rPr>
          <w:rFonts w:hint="default"/>
          <w:b w:val="0"/>
          <w:bCs w:val="0"/>
          <w:lang w:val="en-US" w:eastAsia="zh-CN"/>
        </w:rPr>
      </w:pPr>
      <w:r>
        <w:rPr>
          <w:rFonts w:hint="eastAsia"/>
          <w:b/>
          <w:bCs/>
          <w:lang w:val="en-US" w:eastAsia="zh-CN"/>
        </w:rPr>
        <w:t>2.应急基地建设。</w:t>
      </w:r>
      <w:r>
        <w:rPr>
          <w:rFonts w:hint="eastAsia"/>
          <w:b w:val="0"/>
          <w:bCs w:val="0"/>
          <w:lang w:val="en-US" w:eastAsia="zh-CN"/>
        </w:rPr>
        <w:t>中心消防救援站建设。按照应急救援主力军和国家队的定位，加强正规化、专业化、职业化建设。优化力量布局，优化先进适用装备，强化多灾种专业化训练演练，提高极端条件下综合救援能力。科学配备政府专职消防员和志愿者队伍，强化与片区内乡镇应急队和村（社区）应急分队、重点企事业等单位形成协调联动机制和队伍管理培训演练机制。</w:t>
      </w:r>
    </w:p>
    <w:p>
      <w:pPr>
        <w:pStyle w:val="6"/>
        <w:keepNext w:val="0"/>
        <w:keepLines w:val="0"/>
        <w:pageBreakBefore w:val="0"/>
        <w:widowControl w:val="0"/>
        <w:kinsoku/>
        <w:wordWrap/>
        <w:overflowPunct/>
        <w:topLinePunct w:val="0"/>
        <w:autoSpaceDE/>
        <w:autoSpaceDN/>
        <w:bidi w:val="0"/>
        <w:adjustRightInd/>
        <w:snapToGrid/>
        <w:spacing w:after="0"/>
        <w:textAlignment w:val="auto"/>
        <w:rPr>
          <w:rFonts w:hint="eastAsia" w:ascii="仿宋" w:hAnsi="仿宋" w:eastAsia="仿宋" w:cs="仿宋"/>
          <w:kern w:val="2"/>
          <w:sz w:val="32"/>
          <w:szCs w:val="32"/>
          <w:lang w:val="en-US" w:eastAsia="zh-CN" w:bidi="ar-SA"/>
        </w:rPr>
      </w:pPr>
      <w:r>
        <w:rPr>
          <w:rFonts w:hint="eastAsia" w:ascii="仿宋" w:hAnsi="仿宋" w:cs="仿宋"/>
          <w:kern w:val="2"/>
          <w:sz w:val="32"/>
          <w:szCs w:val="32"/>
          <w:lang w:val="en-US" w:eastAsia="zh-CN" w:bidi="ar-SA"/>
        </w:rPr>
        <w:t>建设</w:t>
      </w:r>
      <w:r>
        <w:rPr>
          <w:rFonts w:hint="eastAsia"/>
          <w:lang w:val="en-US" w:eastAsia="zh-CN"/>
        </w:rPr>
        <w:t>防灾减灾综合科普训练基地，</w:t>
      </w:r>
      <w:r>
        <w:rPr>
          <w:rFonts w:hint="eastAsia" w:ascii="仿宋" w:hAnsi="仿宋" w:eastAsia="仿宋" w:cs="仿宋"/>
          <w:kern w:val="2"/>
          <w:sz w:val="32"/>
          <w:szCs w:val="32"/>
          <w:lang w:val="en-US" w:eastAsia="zh-CN" w:bidi="ar-SA"/>
        </w:rPr>
        <w:t>建设数字化科普平台和虚拟体验馆，开展线上线下法规教育、科普教育、应急体验、自救互救等活动，不断增强全社会防灾减灾意识和自救互救能力。</w:t>
      </w:r>
    </w:p>
    <w:p>
      <w:pPr>
        <w:rPr>
          <w:rFonts w:hint="eastAsia" w:ascii="仿宋" w:hAnsi="仿宋" w:eastAsia="仿宋" w:cs="仿宋"/>
          <w:sz w:val="32"/>
          <w:szCs w:val="32"/>
          <w:lang w:val="en-US" w:eastAsia="zh-CN"/>
        </w:rPr>
      </w:pPr>
      <w:r>
        <w:rPr>
          <w:rFonts w:hint="eastAsia"/>
          <w:b/>
          <w:bCs/>
          <w:lang w:val="en-US" w:eastAsia="zh-CN"/>
        </w:rPr>
        <w:t>3.应急预案建设。</w:t>
      </w:r>
      <w:r>
        <w:rPr>
          <w:rFonts w:hint="eastAsia"/>
          <w:b w:val="0"/>
          <w:bCs w:val="0"/>
          <w:lang w:val="en-US" w:eastAsia="zh-CN"/>
        </w:rPr>
        <w:t>健全完善应急预案。</w:t>
      </w:r>
      <w:r>
        <w:rPr>
          <w:rFonts w:hint="eastAsia" w:ascii="仿宋" w:hAnsi="仿宋" w:eastAsia="仿宋" w:cs="仿宋"/>
          <w:sz w:val="32"/>
          <w:szCs w:val="32"/>
        </w:rPr>
        <w:t>以操作性、针对性为重点全面制修订城乡社区应急预案</w:t>
      </w:r>
      <w:r>
        <w:rPr>
          <w:rFonts w:hint="eastAsia" w:ascii="仿宋" w:hAnsi="仿宋" w:cs="仿宋"/>
          <w:sz w:val="32"/>
          <w:szCs w:val="32"/>
          <w:lang w:eastAsia="zh-CN"/>
        </w:rPr>
        <w:t>、</w:t>
      </w:r>
      <w:r>
        <w:rPr>
          <w:rFonts w:hint="eastAsia" w:ascii="仿宋" w:hAnsi="仿宋" w:cs="仿宋"/>
          <w:sz w:val="32"/>
          <w:szCs w:val="32"/>
          <w:lang w:val="en-US" w:eastAsia="zh-CN"/>
        </w:rPr>
        <w:t>重点企业专项应急预案</w:t>
      </w:r>
      <w:r>
        <w:rPr>
          <w:rFonts w:hint="eastAsia" w:ascii="仿宋" w:hAnsi="仿宋" w:eastAsia="仿宋" w:cs="仿宋"/>
          <w:sz w:val="32"/>
          <w:szCs w:val="32"/>
        </w:rPr>
        <w:t>。以避险避灾为重点，全面开展灾害隐患和转移路线的标志设立，加强日常演练和转移管理，最大程度降低受威胁群众伤亡</w:t>
      </w:r>
      <w:r>
        <w:rPr>
          <w:rFonts w:hint="eastAsia" w:ascii="仿宋" w:hAnsi="仿宋" w:eastAsia="仿宋" w:cs="仿宋"/>
          <w:sz w:val="32"/>
          <w:szCs w:val="32"/>
          <w:lang w:eastAsia="zh-CN"/>
        </w:rPr>
        <w:t>。</w:t>
      </w:r>
    </w:p>
    <w:p>
      <w:pPr>
        <w:pStyle w:val="6"/>
        <w:keepNext w:val="0"/>
        <w:keepLines w:val="0"/>
        <w:pageBreakBefore w:val="0"/>
        <w:widowControl w:val="0"/>
        <w:kinsoku/>
        <w:wordWrap/>
        <w:overflowPunct/>
        <w:topLinePunct w:val="0"/>
        <w:autoSpaceDE/>
        <w:autoSpaceDN/>
        <w:bidi w:val="0"/>
        <w:adjustRightInd/>
        <w:snapToGrid/>
        <w:spacing w:after="0"/>
        <w:textAlignment w:val="auto"/>
        <w:rPr>
          <w:rFonts w:hint="eastAsia" w:ascii="仿宋" w:hAnsi="仿宋" w:eastAsia="仿宋" w:cs="仿宋"/>
          <w:kern w:val="2"/>
          <w:sz w:val="32"/>
          <w:szCs w:val="32"/>
          <w:lang w:val="en-US" w:eastAsia="zh-CN" w:bidi="ar-SA"/>
        </w:rPr>
      </w:pPr>
      <w:r>
        <w:rPr>
          <w:rFonts w:hint="eastAsia"/>
          <w:b/>
          <w:bCs/>
          <w:lang w:val="en-US" w:eastAsia="zh-CN"/>
        </w:rPr>
        <w:t>4.应急装备建设。</w:t>
      </w:r>
      <w:r>
        <w:rPr>
          <w:rFonts w:hint="eastAsia" w:ascii="仿宋" w:hAnsi="仿宋" w:eastAsia="仿宋" w:cs="仿宋"/>
          <w:kern w:val="2"/>
          <w:sz w:val="32"/>
          <w:szCs w:val="32"/>
          <w:lang w:val="en-US" w:eastAsia="zh-CN" w:bidi="ar-SA"/>
        </w:rPr>
        <w:t>加大先进适用装备的配备力度，以实现专业化、体系化、标准化为目标，加快装备提档升级，强化多灾种专业化训练，提高队伍在极端条件下的综合救援能力。</w:t>
      </w:r>
    </w:p>
    <w:p>
      <w:pPr>
        <w:rPr>
          <w:rFonts w:hint="eastAsia" w:ascii="仿宋" w:hAnsi="仿宋" w:eastAsia="仿宋" w:cs="仿宋"/>
          <w:kern w:val="2"/>
          <w:sz w:val="32"/>
          <w:szCs w:val="32"/>
          <w:lang w:val="en-US" w:eastAsia="zh-CN" w:bidi="ar-SA"/>
        </w:rPr>
      </w:pPr>
      <w:r>
        <w:rPr>
          <w:rFonts w:hint="eastAsia"/>
          <w:b/>
          <w:bCs/>
          <w:lang w:val="en-US" w:eastAsia="zh-CN"/>
        </w:rPr>
        <w:t>5.应急物资储备建设。</w:t>
      </w:r>
      <w:r>
        <w:rPr>
          <w:rFonts w:hint="eastAsia" w:ascii="仿宋" w:hAnsi="仿宋" w:eastAsia="仿宋" w:cs="仿宋"/>
          <w:kern w:val="2"/>
          <w:sz w:val="32"/>
          <w:szCs w:val="32"/>
          <w:lang w:val="en-US" w:eastAsia="zh-CN" w:bidi="ar-SA"/>
        </w:rPr>
        <w:t>按照地方满足启动本行政区域Ⅱ级应急响应的应急物资保障需求，建立政府和社会、实物和产能相结合的应急物资储备模式。建立跨部门应急物资保障联动机制，健全跨区域应急物资协同保障机制。建立健全应急物资储备目录清单，合理确定储备品类、规模和结构并动态调整。加大人口密集区域、灾害事故高风险区域和交通不便区域的应急物资储备规模，重点满足流域洪水以及山洪灾害的物资需求。</w:t>
      </w:r>
    </w:p>
    <w:p>
      <w:pPr>
        <w:pStyle w:val="6"/>
        <w:rPr>
          <w:rFonts w:hint="default"/>
          <w:b/>
          <w:bCs/>
          <w:lang w:val="en-US" w:eastAsia="zh-CN"/>
        </w:rPr>
      </w:pPr>
      <w:r>
        <w:rPr>
          <w:rFonts w:hint="eastAsia"/>
          <w:b/>
          <w:bCs/>
          <w:lang w:val="en-US" w:eastAsia="zh-CN"/>
        </w:rPr>
        <w:t>6.应急避难场所建设。</w:t>
      </w:r>
      <w:r>
        <w:rPr>
          <w:rFonts w:hint="eastAsia"/>
          <w:b w:val="0"/>
          <w:bCs w:val="0"/>
          <w:lang w:val="en-US" w:eastAsia="zh-CN"/>
        </w:rPr>
        <w:t>推进紧急、临时、固定等类型应急避难场所建设，建立应急避难场所信息数据库和电子地图。加强应急避难场所日常管理和维护，完善运行管理规范。逐步完善移动式救灾指挥、应急医疗救护、应急厕所、应急供水供电消防警示牌等标识标牌。</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67"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lang w:val="en-US" w:eastAsia="zh-CN"/>
              </w:rPr>
            </w:pPr>
            <w:r>
              <w:rPr>
                <w:rFonts w:hint="eastAsia"/>
                <w:b/>
                <w:bCs/>
                <w:highlight w:val="none"/>
                <w:lang w:val="en-US" w:eastAsia="zh-CN"/>
              </w:rPr>
              <w:t>专栏四  应急能力建设工程</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lang w:val="en-US" w:eastAsia="zh-CN"/>
              </w:rPr>
            </w:pPr>
            <w:r>
              <w:rPr>
                <w:rFonts w:hint="eastAsia"/>
                <w:lang w:val="en-US" w:eastAsia="zh-CN"/>
              </w:rPr>
              <w:t>工程5 应急队伍提升重点工程</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ind w:firstLine="643" w:firstLineChars="200"/>
              <w:jc w:val="both"/>
              <w:textAlignment w:val="auto"/>
              <w:rPr>
                <w:rFonts w:hint="eastAsia"/>
                <w:lang w:val="en-US" w:eastAsia="zh-CN"/>
              </w:rPr>
            </w:pPr>
            <w:r>
              <w:rPr>
                <w:rFonts w:hint="eastAsia"/>
                <w:b/>
                <w:bCs/>
                <w:lang w:val="en-US" w:eastAsia="zh-CN"/>
              </w:rPr>
              <w:t>建设内容</w:t>
            </w:r>
            <w:r>
              <w:rPr>
                <w:rFonts w:hint="eastAsia"/>
                <w:lang w:val="en-US" w:eastAsia="zh-CN"/>
              </w:rPr>
              <w:t>：扩建劳动镇小型消防站为二级消防站（15-25人专职队伍、2-4台消防车，并配备其他消防器材），石佛镇按照中心消防站标准（10-15人专职队伍、2台消防车，并配备其他消防器材）建设和管理；强化龙门专职消防点，配齐专职消防人员、装备。</w:t>
            </w:r>
          </w:p>
          <w:p>
            <w:pPr>
              <w:pStyle w:val="6"/>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b/>
                <w:bCs/>
                <w:lang w:val="en-US" w:eastAsia="zh-CN"/>
              </w:rPr>
              <w:t>项目功能</w:t>
            </w:r>
            <w:r>
              <w:rPr>
                <w:rFonts w:hint="eastAsia"/>
                <w:lang w:val="en-US" w:eastAsia="zh-CN"/>
              </w:rPr>
              <w:t>：建立以劳动镇为主力，石佛镇为辅助，村级消防队为支点的应急救援力量体系，救援力量前置到位，实现15分钟半径，30分钟全境覆盖的应急能力调度圈。</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b/>
                <w:bCs/>
                <w:lang w:val="en-US" w:eastAsia="zh-CN"/>
              </w:rPr>
              <w:t>建设地点</w:t>
            </w:r>
            <w:r>
              <w:rPr>
                <w:rFonts w:hint="eastAsia"/>
                <w:lang w:val="en-US" w:eastAsia="zh-CN"/>
              </w:rPr>
              <w:t>：劳动镇消防站、石佛镇消防站、龙门镇消防执勤点</w:t>
            </w:r>
          </w:p>
          <w:p>
            <w:pPr>
              <w:pStyle w:val="6"/>
              <w:keepNext w:val="0"/>
              <w:keepLines w:val="0"/>
              <w:pageBreakBefore w:val="0"/>
              <w:widowControl w:val="0"/>
              <w:kinsoku/>
              <w:wordWrap/>
              <w:overflowPunct/>
              <w:topLinePunct w:val="0"/>
              <w:autoSpaceDE/>
              <w:autoSpaceDN/>
              <w:bidi w:val="0"/>
              <w:adjustRightInd/>
              <w:snapToGrid/>
              <w:spacing w:after="0"/>
              <w:ind w:left="0" w:leftChars="0" w:firstLine="643" w:firstLineChars="200"/>
              <w:jc w:val="both"/>
              <w:textAlignment w:val="auto"/>
              <w:rPr>
                <w:rFonts w:hint="default"/>
                <w:lang w:val="en-US" w:eastAsia="zh-CN"/>
              </w:rPr>
            </w:pPr>
            <w:r>
              <w:rPr>
                <w:rFonts w:hint="eastAsia"/>
                <w:b/>
                <w:bCs/>
                <w:lang w:val="en-US" w:eastAsia="zh-CN"/>
              </w:rPr>
              <w:t>用地范围</w:t>
            </w:r>
            <w:r>
              <w:rPr>
                <w:rFonts w:hint="eastAsia"/>
                <w:highlight w:val="none"/>
                <w:lang w:val="en-US" w:eastAsia="zh-CN"/>
              </w:rPr>
              <w:t>：2亩</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b/>
                <w:bCs/>
                <w:lang w:val="en-US" w:eastAsia="zh-CN"/>
              </w:rPr>
              <w:t>投资规模</w:t>
            </w:r>
            <w:r>
              <w:rPr>
                <w:rFonts w:hint="eastAsia"/>
                <w:lang w:val="en-US" w:eastAsia="zh-CN"/>
              </w:rPr>
              <w:t>：200万</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b/>
                <w:bCs/>
                <w:lang w:val="en-US" w:eastAsia="zh-CN"/>
              </w:rPr>
              <w:t>责任单位</w:t>
            </w:r>
            <w:r>
              <w:rPr>
                <w:rFonts w:hint="eastAsia"/>
                <w:lang w:val="en-US" w:eastAsia="zh-CN"/>
              </w:rPr>
              <w:t>：县消防部门、各镇政府</w:t>
            </w:r>
          </w:p>
          <w:p>
            <w:pPr>
              <w:pStyle w:val="6"/>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ind w:firstLine="1920" w:firstLineChars="600"/>
              <w:jc w:val="both"/>
              <w:textAlignment w:val="auto"/>
              <w:rPr>
                <w:rFonts w:hint="eastAsia"/>
                <w:lang w:val="en-US" w:eastAsia="zh-CN"/>
              </w:rPr>
            </w:pPr>
            <w:r>
              <w:rPr>
                <w:rFonts w:hint="eastAsia"/>
                <w:lang w:val="en-US" w:eastAsia="zh-CN"/>
              </w:rPr>
              <w:t>工程6  应急物资储备库升级改造工程</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ind w:firstLine="643" w:firstLineChars="200"/>
              <w:jc w:val="both"/>
              <w:textAlignment w:val="auto"/>
              <w:rPr>
                <w:rFonts w:hint="eastAsia"/>
                <w:b/>
                <w:bCs/>
                <w:lang w:val="en-US" w:eastAsia="zh-CN"/>
              </w:rPr>
            </w:pPr>
            <w:r>
              <w:rPr>
                <w:rFonts w:hint="eastAsia"/>
                <w:b/>
                <w:bCs/>
                <w:lang w:val="en-US" w:eastAsia="zh-CN"/>
              </w:rPr>
              <w:t>建设内容</w:t>
            </w:r>
            <w:r>
              <w:rPr>
                <w:rFonts w:hint="eastAsia"/>
                <w:lang w:val="en-US" w:eastAsia="zh-CN"/>
              </w:rPr>
              <w:t>：劳动镇建立物资储备中心库，石佛镇建立物资储备重点库，宝林镇、蟠龙镇、龙门镇建立物资储备基本库，15个中心村建立物资储备保障点，对现有物资储备点进行升级改造，重点配齐视频监控、专用货架、防潮、防虫、防火等设施。</w:t>
            </w:r>
          </w:p>
          <w:p>
            <w:pPr>
              <w:pStyle w:val="6"/>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b/>
                <w:bCs/>
                <w:lang w:val="en-US" w:eastAsia="zh-CN"/>
              </w:rPr>
              <w:t>项目功能</w:t>
            </w:r>
            <w:r>
              <w:rPr>
                <w:rFonts w:hint="eastAsia"/>
                <w:lang w:val="en-US" w:eastAsia="zh-CN"/>
              </w:rPr>
              <w:t>：打造“1+1+3+N”的应急物资储备体系，构建中心库全面覆盖、重点库区域覆盖、基本库定点覆盖的“半小时保障圈”，改造应急物资储备库仓储设施，增强物资储备能力。</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b/>
                <w:bCs/>
                <w:lang w:val="en-US" w:eastAsia="zh-CN"/>
              </w:rPr>
              <w:t>建设地点</w:t>
            </w:r>
            <w:r>
              <w:rPr>
                <w:rFonts w:hint="eastAsia"/>
                <w:lang w:val="en-US" w:eastAsia="zh-CN"/>
              </w:rPr>
              <w:t>：劳动镇、宝林镇、石佛镇、蟠龙镇、龙门镇、旧居村、百花村、双龙村、回龙社区、周王沟村、万斤沟村、新建社区、三星社区、金鼓村、高屋基村、荣家沟村、放生村、保安社区、黑堰塘村、晏家沟村</w:t>
            </w:r>
          </w:p>
          <w:p>
            <w:pPr>
              <w:pStyle w:val="6"/>
              <w:keepNext w:val="0"/>
              <w:keepLines w:val="0"/>
              <w:pageBreakBefore w:val="0"/>
              <w:widowControl w:val="0"/>
              <w:kinsoku/>
              <w:wordWrap/>
              <w:overflowPunct/>
              <w:topLinePunct w:val="0"/>
              <w:autoSpaceDE/>
              <w:autoSpaceDN/>
              <w:bidi w:val="0"/>
              <w:adjustRightInd/>
              <w:snapToGrid/>
              <w:spacing w:after="0"/>
              <w:ind w:left="0" w:leftChars="0" w:firstLine="643" w:firstLineChars="200"/>
              <w:jc w:val="both"/>
              <w:textAlignment w:val="auto"/>
              <w:rPr>
                <w:rFonts w:hint="default"/>
                <w:lang w:val="en-US" w:eastAsia="zh-CN"/>
              </w:rPr>
            </w:pPr>
            <w:r>
              <w:rPr>
                <w:rFonts w:hint="eastAsia"/>
                <w:b/>
                <w:bCs/>
                <w:lang w:val="en-US" w:eastAsia="zh-CN"/>
              </w:rPr>
              <w:t>用地范围</w:t>
            </w:r>
            <w:r>
              <w:rPr>
                <w:rFonts w:hint="eastAsia"/>
                <w:lang w:val="en-US" w:eastAsia="zh-CN"/>
              </w:rPr>
              <w:t>：2亩</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b/>
                <w:bCs/>
                <w:lang w:val="en-US" w:eastAsia="zh-CN"/>
              </w:rPr>
              <w:t>投资规模</w:t>
            </w:r>
            <w:r>
              <w:rPr>
                <w:rFonts w:hint="eastAsia"/>
                <w:lang w:val="en-US" w:eastAsia="zh-CN"/>
              </w:rPr>
              <w:t>：100万</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highlight w:val="none"/>
                <w:lang w:val="en-US" w:eastAsia="zh-CN"/>
              </w:rPr>
            </w:pPr>
            <w:r>
              <w:rPr>
                <w:rFonts w:hint="eastAsia"/>
                <w:b/>
                <w:bCs/>
                <w:lang w:val="en-US" w:eastAsia="zh-CN"/>
              </w:rPr>
              <w:t>责任单位</w:t>
            </w:r>
            <w:r>
              <w:rPr>
                <w:rFonts w:hint="eastAsia"/>
                <w:lang w:val="en-US" w:eastAsia="zh-CN"/>
              </w:rPr>
              <w:t>：县应急局、县发展改革局、片区各镇人民政府</w:t>
            </w:r>
          </w:p>
          <w:p>
            <w:pPr>
              <w:pStyle w:val="6"/>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lang w:val="en-US" w:eastAsia="zh-CN"/>
              </w:rPr>
            </w:pPr>
            <w:r>
              <w:rPr>
                <w:rFonts w:hint="eastAsia"/>
                <w:lang w:val="en-US" w:eastAsia="zh-CN"/>
              </w:rPr>
              <w:t>工程7 应急避难场所工程。</w:t>
            </w:r>
          </w:p>
          <w:p>
            <w:pPr>
              <w:keepNext w:val="0"/>
              <w:keepLines w:val="0"/>
              <w:widowControl/>
              <w:suppressLineNumbers w:val="0"/>
              <w:jc w:val="left"/>
              <w:rPr>
                <w:rFonts w:hint="eastAsia" w:ascii="Times New Roman" w:hAnsi="Times New Roman" w:eastAsia="仿宋" w:cs="Times New Roman"/>
                <w:b/>
                <w:bCs/>
                <w:kern w:val="2"/>
                <w:sz w:val="32"/>
                <w:szCs w:val="24"/>
                <w:lang w:val="en-US" w:eastAsia="zh-CN" w:bidi="ar-SA"/>
              </w:rPr>
            </w:pPr>
            <w:r>
              <w:rPr>
                <w:rFonts w:hint="eastAsia" w:ascii="Times New Roman" w:hAnsi="Times New Roman" w:eastAsia="仿宋" w:cs="Times New Roman"/>
                <w:b/>
                <w:bCs/>
                <w:kern w:val="2"/>
                <w:sz w:val="32"/>
                <w:szCs w:val="24"/>
                <w:lang w:val="en-US" w:eastAsia="zh-CN" w:bidi="ar-SA"/>
              </w:rPr>
              <w:t>建设内容</w:t>
            </w:r>
            <w:r>
              <w:rPr>
                <w:rFonts w:hint="eastAsia"/>
                <w:lang w:val="en-US" w:eastAsia="zh-CN"/>
              </w:rPr>
              <w:t>：劳动镇、石佛镇依托原有的应急避难场所改建为Ⅱ级规范化避难场所，避难时间3天-30天（含30天），拥有救灾指挥、应急医疗救护、应急物资储备、应急棚宿区、应急厕所、应急供电供水消防和应急垃圾与污水处理等主要应急避险功能及配套设施；宝林镇、龙门镇、蟠龙镇依托原有的应急避难场所改建为Ⅲ级规范化避难场所，并具备相应的设备设施；将片区各镇、村（社区）现有文化站、学校、广场、医院等有条件的公共场所按照标准设置各类指示牌、功能分区指示牌，以及其他配套设施，改建为临时避难点。</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ind w:firstLine="643" w:firstLineChars="200"/>
              <w:jc w:val="both"/>
              <w:textAlignment w:val="auto"/>
              <w:rPr>
                <w:rFonts w:hint="eastAsia"/>
                <w:lang w:val="en-US" w:eastAsia="zh-CN"/>
              </w:rPr>
            </w:pPr>
            <w:r>
              <w:rPr>
                <w:rFonts w:hint="eastAsia" w:ascii="Times New Roman" w:hAnsi="Times New Roman" w:eastAsia="仿宋" w:cs="Times New Roman"/>
                <w:b/>
                <w:bCs/>
                <w:kern w:val="2"/>
                <w:sz w:val="32"/>
                <w:szCs w:val="24"/>
                <w:lang w:val="en-US" w:eastAsia="zh-CN" w:bidi="ar-SA"/>
              </w:rPr>
              <w:t>项目功能</w:t>
            </w:r>
            <w:r>
              <w:rPr>
                <w:rFonts w:hint="eastAsia"/>
                <w:lang w:val="en-US" w:eastAsia="zh-CN"/>
              </w:rPr>
              <w:t>：梳理片区内各避难场所面积，修缮现有应急避难场所，各主城区应急避难场所按照城市常住人口人均1平方米计算，确保总体面积达标。实现对应急避难场所功能区、应急物资和运行状态的动态管理。</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b/>
                <w:bCs/>
                <w:lang w:val="en-US" w:eastAsia="zh-CN"/>
              </w:rPr>
              <w:t>建设地点</w:t>
            </w:r>
            <w:r>
              <w:rPr>
                <w:rFonts w:hint="eastAsia"/>
                <w:lang w:val="en-US" w:eastAsia="zh-CN"/>
              </w:rPr>
              <w:t>：劳动镇应急避难场所、石佛镇中心小学应急避难场所、宝林镇文化站应急避难场所、龙门镇应急避难场所、蟠龙镇社区文化站应急避难场所；片区内现有具备条件的公共场所。</w:t>
            </w:r>
          </w:p>
          <w:p>
            <w:pPr>
              <w:pStyle w:val="6"/>
              <w:keepNext w:val="0"/>
              <w:keepLines w:val="0"/>
              <w:pageBreakBefore w:val="0"/>
              <w:widowControl w:val="0"/>
              <w:kinsoku/>
              <w:wordWrap/>
              <w:overflowPunct/>
              <w:topLinePunct w:val="0"/>
              <w:autoSpaceDE/>
              <w:autoSpaceDN/>
              <w:bidi w:val="0"/>
              <w:adjustRightInd/>
              <w:snapToGrid/>
              <w:spacing w:after="0"/>
              <w:ind w:left="0" w:leftChars="0" w:firstLine="643" w:firstLineChars="200"/>
              <w:jc w:val="both"/>
              <w:textAlignment w:val="auto"/>
              <w:rPr>
                <w:rFonts w:hint="default"/>
                <w:lang w:val="en-US" w:eastAsia="zh-CN"/>
              </w:rPr>
            </w:pPr>
            <w:r>
              <w:rPr>
                <w:rFonts w:hint="eastAsia"/>
                <w:b/>
                <w:bCs/>
                <w:lang w:val="en-US" w:eastAsia="zh-CN"/>
              </w:rPr>
              <w:t>用地范围：</w:t>
            </w:r>
            <w:r>
              <w:rPr>
                <w:rFonts w:hint="eastAsia"/>
                <w:lang w:val="en-US" w:eastAsia="zh-CN"/>
              </w:rPr>
              <w:t>5亩</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b/>
                <w:bCs/>
                <w:lang w:val="en-US" w:eastAsia="zh-CN"/>
              </w:rPr>
              <w:t>投资规模</w:t>
            </w:r>
            <w:r>
              <w:rPr>
                <w:rFonts w:hint="eastAsia"/>
                <w:lang w:val="en-US" w:eastAsia="zh-CN"/>
              </w:rPr>
              <w:t>：200万</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b/>
                <w:bCs/>
                <w:lang w:val="en-US" w:eastAsia="zh-CN"/>
              </w:rPr>
              <w:t>责任单位</w:t>
            </w:r>
            <w:r>
              <w:rPr>
                <w:rFonts w:hint="eastAsia"/>
                <w:lang w:val="en-US" w:eastAsia="zh-CN"/>
              </w:rPr>
              <w:t>：县应急局、片区各镇政府</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lang w:val="en-US" w:eastAsia="zh-CN"/>
              </w:rPr>
            </w:pPr>
            <w:r>
              <w:rPr>
                <w:rFonts w:hint="eastAsia"/>
                <w:lang w:val="en-US" w:eastAsia="zh-CN"/>
              </w:rPr>
              <w:t>工程8四川省防灾减灾综合科普训练基地项目工程。</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ind w:firstLine="643" w:firstLineChars="200"/>
              <w:jc w:val="both"/>
              <w:textAlignment w:val="auto"/>
              <w:rPr>
                <w:rFonts w:hint="eastAsia"/>
                <w:b/>
                <w:bCs/>
                <w:lang w:val="en-US" w:eastAsia="zh-CN"/>
              </w:rPr>
            </w:pPr>
            <w:r>
              <w:rPr>
                <w:rFonts w:hint="eastAsia" w:ascii="Times New Roman" w:hAnsi="Times New Roman" w:eastAsia="仿宋" w:cs="Times New Roman"/>
                <w:b/>
                <w:bCs/>
                <w:kern w:val="2"/>
                <w:sz w:val="32"/>
                <w:szCs w:val="24"/>
                <w:lang w:val="en-US" w:eastAsia="zh-CN" w:bidi="ar-SA"/>
              </w:rPr>
              <w:t>建设内容</w:t>
            </w:r>
            <w:r>
              <w:rPr>
                <w:rFonts w:hint="eastAsia"/>
                <w:lang w:val="en-US" w:eastAsia="zh-CN"/>
              </w:rPr>
              <w:t>：主要建设安全及法律科普展示区；灾害事故沉浸式体验中心；室外专业实训区</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ind w:firstLine="643" w:firstLineChars="200"/>
              <w:jc w:val="both"/>
              <w:textAlignment w:val="auto"/>
              <w:rPr>
                <w:rFonts w:hint="eastAsia"/>
                <w:lang w:val="en-US" w:eastAsia="zh-CN"/>
              </w:rPr>
            </w:pPr>
            <w:r>
              <w:rPr>
                <w:rFonts w:hint="eastAsia"/>
                <w:b/>
                <w:bCs/>
                <w:lang w:val="en-US" w:eastAsia="zh-CN"/>
              </w:rPr>
              <w:t>项目功能</w:t>
            </w:r>
            <w:r>
              <w:rPr>
                <w:rFonts w:hint="eastAsia"/>
                <w:lang w:val="en-US" w:eastAsia="zh-CN"/>
              </w:rPr>
              <w:t>：依托陈毅故居的旅游优势，建在劳动镇景区，打造防灾减灾科普宣传、专业队伍培训主阵地，专业的实训基地可承接全县应急队伍的日常训练和演练，强化应急实战能力；优越的地理位置方便大量居民和游客团体前来参观体验，示范引领周边片区甚至西南片区。</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b/>
                <w:bCs/>
                <w:lang w:val="en-US" w:eastAsia="zh-CN"/>
              </w:rPr>
              <w:t>建设地点</w:t>
            </w:r>
            <w:r>
              <w:rPr>
                <w:rFonts w:hint="eastAsia"/>
                <w:lang w:val="en-US" w:eastAsia="zh-CN"/>
              </w:rPr>
              <w:t>：劳动镇</w:t>
            </w:r>
          </w:p>
          <w:p>
            <w:pPr>
              <w:pStyle w:val="6"/>
              <w:keepNext w:val="0"/>
              <w:keepLines w:val="0"/>
              <w:pageBreakBefore w:val="0"/>
              <w:widowControl w:val="0"/>
              <w:kinsoku/>
              <w:wordWrap/>
              <w:overflowPunct/>
              <w:topLinePunct w:val="0"/>
              <w:autoSpaceDE/>
              <w:autoSpaceDN/>
              <w:bidi w:val="0"/>
              <w:adjustRightInd/>
              <w:snapToGrid/>
              <w:spacing w:after="0"/>
              <w:ind w:left="0" w:leftChars="0" w:firstLine="643" w:firstLineChars="200"/>
              <w:jc w:val="both"/>
              <w:textAlignment w:val="auto"/>
              <w:rPr>
                <w:rFonts w:hint="default"/>
                <w:lang w:val="en-US" w:eastAsia="zh-CN"/>
              </w:rPr>
            </w:pPr>
            <w:r>
              <w:rPr>
                <w:rFonts w:hint="eastAsia" w:ascii="Times New Roman" w:hAnsi="Times New Roman" w:eastAsia="仿宋" w:cs="Times New Roman"/>
                <w:b/>
                <w:bCs/>
                <w:kern w:val="2"/>
                <w:sz w:val="32"/>
                <w:szCs w:val="24"/>
                <w:lang w:val="en-US" w:eastAsia="zh-CN" w:bidi="ar-SA"/>
              </w:rPr>
              <w:t>用地范围</w:t>
            </w:r>
            <w:r>
              <w:rPr>
                <w:rFonts w:hint="eastAsia"/>
                <w:lang w:val="en-US" w:eastAsia="zh-CN"/>
              </w:rPr>
              <w:t>：100亩</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b/>
                <w:bCs/>
                <w:lang w:val="en-US" w:eastAsia="zh-CN"/>
              </w:rPr>
              <w:t>投资规模</w:t>
            </w:r>
            <w:r>
              <w:rPr>
                <w:rFonts w:hint="eastAsia"/>
                <w:lang w:val="en-US" w:eastAsia="zh-CN"/>
              </w:rPr>
              <w:t>：10亿元</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lang w:val="en-US" w:eastAsia="zh-CN"/>
              </w:rPr>
            </w:pPr>
            <w:r>
              <w:rPr>
                <w:rFonts w:hint="eastAsia"/>
                <w:b/>
                <w:bCs/>
                <w:lang w:val="en-US" w:eastAsia="zh-CN"/>
              </w:rPr>
              <w:t>责任单位</w:t>
            </w:r>
            <w:r>
              <w:rPr>
                <w:rFonts w:hint="eastAsia"/>
                <w:lang w:val="en-US" w:eastAsia="zh-CN"/>
              </w:rPr>
              <w:t>：县应急局、劳动镇政府</w:t>
            </w:r>
          </w:p>
        </w:tc>
      </w:tr>
    </w:tbl>
    <w:p>
      <w:pPr>
        <w:numPr>
          <w:ilvl w:val="0"/>
          <w:numId w:val="0"/>
        </w:numPr>
        <w:ind w:firstLine="643" w:firstLineChars="200"/>
        <w:jc w:val="both"/>
        <w:outlineLvl w:val="1"/>
        <w:rPr>
          <w:rFonts w:hint="eastAsia" w:ascii="楷体" w:hAnsi="楷体" w:eastAsia="楷体" w:cs="楷体"/>
          <w:b/>
          <w:bCs/>
          <w:lang w:val="en-US" w:eastAsia="zh-CN"/>
        </w:rPr>
      </w:pPr>
      <w:bookmarkStart w:id="43" w:name="_Toc21830"/>
      <w:r>
        <w:rPr>
          <w:rFonts w:hint="eastAsia" w:ascii="楷体" w:hAnsi="楷体" w:eastAsia="楷体" w:cs="楷体"/>
          <w:b/>
          <w:bCs/>
          <w:lang w:val="en-US" w:eastAsia="zh-CN"/>
        </w:rPr>
        <w:t>（五）先进技术应用方面</w:t>
      </w:r>
      <w:bookmarkEnd w:id="43"/>
    </w:p>
    <w:p>
      <w:pPr>
        <w:rPr>
          <w:rFonts w:hint="default"/>
          <w:b/>
          <w:bCs/>
          <w:lang w:val="en-US" w:eastAsia="zh-CN"/>
        </w:rPr>
      </w:pPr>
      <w:r>
        <w:rPr>
          <w:rFonts w:hint="eastAsia"/>
          <w:b/>
          <w:bCs/>
          <w:lang w:val="en-US" w:eastAsia="zh-CN"/>
        </w:rPr>
        <w:t>1.强化信息支撑保障。</w:t>
      </w:r>
      <w:r>
        <w:rPr>
          <w:rFonts w:hint="eastAsia"/>
          <w:b w:val="0"/>
          <w:bCs w:val="0"/>
          <w:lang w:val="en-US" w:eastAsia="zh-CN"/>
        </w:rPr>
        <w:t>推动已有应急管理信息化平台向下延伸，推动辖区内信息互联互通、信息共享和业务协同。配备部分极端条件下应急通信保障设备，配合“智慧应急”体系建设，建立符合区域特色的数据体系。</w:t>
      </w:r>
    </w:p>
    <w:p>
      <w:pPr>
        <w:pStyle w:val="6"/>
        <w:rPr>
          <w:rFonts w:hint="default"/>
          <w:b w:val="0"/>
          <w:bCs w:val="0"/>
          <w:lang w:val="en-US" w:eastAsia="zh-CN"/>
        </w:rPr>
      </w:pPr>
      <w:r>
        <w:rPr>
          <w:rFonts w:hint="eastAsia"/>
          <w:b/>
          <w:bCs/>
          <w:lang w:val="en-US" w:eastAsia="zh-CN"/>
        </w:rPr>
        <w:t>2.应急指挥网络建设。</w:t>
      </w:r>
      <w:r>
        <w:rPr>
          <w:rFonts w:hint="eastAsia"/>
          <w:b w:val="0"/>
          <w:bCs w:val="0"/>
          <w:lang w:val="en-US" w:eastAsia="zh-CN"/>
        </w:rPr>
        <w:t>结合社会治理智能化建设，各镇、村（社区）运用手机、卫星电话、广播、对讲机等信息化手段，搭建指挥网络，实现灾情反馈、指令下达、信息传递顺畅高效、务实管用。建立灾害预警发布机制，</w:t>
      </w:r>
      <w:r>
        <w:rPr>
          <w:rFonts w:hint="eastAsia"/>
          <w:lang w:val="en-US" w:eastAsia="zh-CN"/>
        </w:rPr>
        <w:t>对不同级别的暴雨、大风、高温、冷冻等自然灾害预警信息响应不同频次的信息发布。</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7" w:type="dxa"/>
          </w:tcPr>
          <w:p>
            <w:pPr>
              <w:pStyle w:val="6"/>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lang w:val="en-US" w:eastAsia="zh-CN"/>
              </w:rPr>
            </w:pPr>
            <w:r>
              <w:rPr>
                <w:rFonts w:hint="eastAsia"/>
                <w:b/>
                <w:bCs/>
                <w:lang w:val="en-US" w:eastAsia="zh-CN"/>
              </w:rPr>
              <w:t>专栏五  先进技术应用重点工程</w:t>
            </w:r>
          </w:p>
          <w:p>
            <w:pPr>
              <w:pStyle w:val="6"/>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lang w:val="en-US" w:eastAsia="zh-CN"/>
              </w:rPr>
            </w:pPr>
            <w:r>
              <w:rPr>
                <w:rFonts w:hint="eastAsia"/>
                <w:lang w:val="en-US" w:eastAsia="zh-CN"/>
              </w:rPr>
              <w:t>工程9科学预警能力建设工程。</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ind w:firstLine="643" w:firstLineChars="200"/>
              <w:jc w:val="both"/>
              <w:textAlignment w:val="auto"/>
              <w:rPr>
                <w:rFonts w:hint="eastAsia"/>
                <w:b/>
                <w:bCs/>
                <w:lang w:val="en-US" w:eastAsia="zh-CN"/>
              </w:rPr>
            </w:pPr>
            <w:r>
              <w:rPr>
                <w:rFonts w:hint="eastAsia"/>
                <w:b/>
                <w:bCs/>
                <w:lang w:val="en-US" w:eastAsia="zh-CN"/>
              </w:rPr>
              <w:t>建设内容</w:t>
            </w:r>
            <w:r>
              <w:rPr>
                <w:rFonts w:hint="eastAsia"/>
                <w:lang w:val="en-US" w:eastAsia="zh-CN"/>
              </w:rPr>
              <w:t>：依托现有平台，推进多灾种监测预警系统建设。多源数据汇集，接入各部门已建成的灾害监测设备数据，进行多灾种综合研判分析。</w:t>
            </w:r>
          </w:p>
          <w:p>
            <w:pPr>
              <w:pStyle w:val="6"/>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val="en-US" w:eastAsia="zh-CN"/>
              </w:rPr>
            </w:pPr>
            <w:r>
              <w:rPr>
                <w:rFonts w:hint="eastAsia"/>
                <w:b/>
                <w:bCs/>
                <w:lang w:val="en-US" w:eastAsia="zh-CN"/>
              </w:rPr>
              <w:t>项目功能</w:t>
            </w:r>
            <w:r>
              <w:rPr>
                <w:rFonts w:hint="eastAsia"/>
                <w:lang w:val="en-US" w:eastAsia="zh-CN"/>
              </w:rPr>
              <w:t>：提升多灾种和灾害链综合监测、风险早期识别和预警预报能力。完善森林火情监测即报、气象要素实时监测等系统，建成全域覆盖、全程贯通、韧性抗毁的灾害风险感知网络，对灾害易发地区进行全方位、立体化动态监测。</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ascii="Times New Roman" w:hAnsi="Times New Roman" w:eastAsia="仿宋" w:cs="Times New Roman"/>
                <w:b/>
                <w:bCs/>
                <w:kern w:val="2"/>
                <w:sz w:val="32"/>
                <w:szCs w:val="24"/>
                <w:lang w:val="en-US" w:eastAsia="zh-CN" w:bidi="ar-SA"/>
              </w:rPr>
              <w:t>建设地点</w:t>
            </w:r>
            <w:r>
              <w:rPr>
                <w:rFonts w:hint="eastAsia"/>
                <w:lang w:val="en-US" w:eastAsia="zh-CN"/>
              </w:rPr>
              <w:t>：劳动镇</w:t>
            </w:r>
          </w:p>
          <w:p>
            <w:pPr>
              <w:pStyle w:val="6"/>
              <w:keepNext w:val="0"/>
              <w:keepLines w:val="0"/>
              <w:pageBreakBefore w:val="0"/>
              <w:widowControl w:val="0"/>
              <w:kinsoku/>
              <w:wordWrap/>
              <w:overflowPunct/>
              <w:topLinePunct w:val="0"/>
              <w:autoSpaceDE/>
              <w:autoSpaceDN/>
              <w:bidi w:val="0"/>
              <w:adjustRightInd/>
              <w:snapToGrid/>
              <w:spacing w:after="0"/>
              <w:ind w:left="0" w:leftChars="0" w:firstLine="643" w:firstLineChars="200"/>
              <w:jc w:val="both"/>
              <w:textAlignment w:val="auto"/>
              <w:rPr>
                <w:rFonts w:hint="default"/>
                <w:lang w:val="en-US" w:eastAsia="zh-CN"/>
              </w:rPr>
            </w:pPr>
            <w:r>
              <w:rPr>
                <w:rFonts w:hint="eastAsia"/>
                <w:b/>
                <w:bCs/>
                <w:lang w:val="en-US" w:eastAsia="zh-CN"/>
              </w:rPr>
              <w:t>用地范围</w:t>
            </w:r>
            <w:r>
              <w:rPr>
                <w:rFonts w:hint="eastAsia"/>
                <w:lang w:val="en-US" w:eastAsia="zh-CN"/>
              </w:rPr>
              <w:t>：无新占地</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ascii="Times New Roman" w:hAnsi="Times New Roman" w:eastAsia="仿宋" w:cs="Times New Roman"/>
                <w:b/>
                <w:bCs/>
                <w:kern w:val="2"/>
                <w:sz w:val="32"/>
                <w:szCs w:val="24"/>
                <w:lang w:val="en-US" w:eastAsia="zh-CN" w:bidi="ar-SA"/>
              </w:rPr>
              <w:t>投资规模</w:t>
            </w:r>
            <w:r>
              <w:rPr>
                <w:rFonts w:hint="eastAsia"/>
                <w:lang w:val="en-US" w:eastAsia="zh-CN"/>
              </w:rPr>
              <w:t>：100万</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ascii="Times New Roman" w:hAnsi="Times New Roman" w:eastAsia="仿宋" w:cs="Times New Roman"/>
                <w:b/>
                <w:bCs/>
                <w:kern w:val="2"/>
                <w:sz w:val="32"/>
                <w:szCs w:val="24"/>
                <w:lang w:val="en-US" w:eastAsia="zh-CN" w:bidi="ar-SA"/>
              </w:rPr>
              <w:t>责任单位</w:t>
            </w:r>
            <w:r>
              <w:rPr>
                <w:rFonts w:hint="eastAsia"/>
                <w:lang w:val="en-US" w:eastAsia="zh-CN"/>
              </w:rPr>
              <w:t>：县应急局、县经济和科技局</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lang w:val="en-US" w:eastAsia="zh-CN"/>
              </w:rPr>
            </w:pPr>
            <w:r>
              <w:rPr>
                <w:rFonts w:hint="eastAsia"/>
                <w:lang w:val="en-US" w:eastAsia="zh-CN"/>
              </w:rPr>
              <w:t>工程10应急广播建设工程。</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ind w:firstLine="643" w:firstLineChars="200"/>
              <w:jc w:val="both"/>
              <w:textAlignment w:val="auto"/>
              <w:rPr>
                <w:rFonts w:hint="default"/>
                <w:lang w:val="en-US" w:eastAsia="zh-CN"/>
              </w:rPr>
            </w:pPr>
            <w:r>
              <w:rPr>
                <w:rFonts w:hint="eastAsia"/>
                <w:b/>
                <w:bCs/>
                <w:lang w:val="en-US" w:eastAsia="zh-CN"/>
              </w:rPr>
              <w:t>建设内容</w:t>
            </w:r>
            <w:r>
              <w:rPr>
                <w:rFonts w:hint="eastAsia"/>
                <w:lang w:val="en-US" w:eastAsia="zh-CN"/>
              </w:rPr>
              <w:t>：按标准化建设应急广播站72个，建设应急广播指挥调度系统、制作播出系统、信息安全系统以及备份系统，实现区域广播通话网络全覆盖、无死角。</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ind w:firstLine="643" w:firstLineChars="200"/>
              <w:jc w:val="both"/>
              <w:textAlignment w:val="auto"/>
              <w:rPr>
                <w:rFonts w:hint="eastAsia"/>
                <w:lang w:val="en-US" w:eastAsia="zh-CN"/>
              </w:rPr>
            </w:pPr>
            <w:r>
              <w:rPr>
                <w:rFonts w:hint="eastAsia"/>
                <w:b/>
                <w:bCs/>
                <w:lang w:val="en-US" w:eastAsia="zh-CN"/>
              </w:rPr>
              <w:t>项目功能</w:t>
            </w:r>
            <w:r>
              <w:rPr>
                <w:rFonts w:hint="eastAsia"/>
                <w:lang w:val="en-US" w:eastAsia="zh-CN"/>
              </w:rPr>
              <w:t>：搭建指挥网络，并完善指挥机制，构建指挥通联平台，应急通信保障到位，实现信息高效传递。</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ascii="Times New Roman" w:hAnsi="Times New Roman" w:eastAsia="仿宋" w:cs="Times New Roman"/>
                <w:b/>
                <w:bCs/>
                <w:kern w:val="2"/>
                <w:sz w:val="32"/>
                <w:szCs w:val="24"/>
                <w:lang w:val="en-US" w:eastAsia="zh-CN" w:bidi="ar-SA"/>
              </w:rPr>
              <w:t>建设地点</w:t>
            </w:r>
            <w:r>
              <w:rPr>
                <w:rFonts w:hint="eastAsia"/>
                <w:lang w:val="en-US" w:eastAsia="zh-CN"/>
              </w:rPr>
              <w:t>：片区各镇、村（社区）广播点</w:t>
            </w:r>
          </w:p>
          <w:p>
            <w:pPr>
              <w:pStyle w:val="6"/>
              <w:keepNext w:val="0"/>
              <w:keepLines w:val="0"/>
              <w:pageBreakBefore w:val="0"/>
              <w:widowControl w:val="0"/>
              <w:kinsoku/>
              <w:wordWrap/>
              <w:overflowPunct/>
              <w:topLinePunct w:val="0"/>
              <w:autoSpaceDE/>
              <w:autoSpaceDN/>
              <w:bidi w:val="0"/>
              <w:adjustRightInd/>
              <w:snapToGrid/>
              <w:spacing w:after="0"/>
              <w:ind w:left="0" w:leftChars="0" w:firstLine="643" w:firstLineChars="200"/>
              <w:jc w:val="both"/>
              <w:textAlignment w:val="auto"/>
              <w:rPr>
                <w:rFonts w:hint="default"/>
                <w:lang w:val="en-US" w:eastAsia="zh-CN"/>
              </w:rPr>
            </w:pPr>
            <w:r>
              <w:rPr>
                <w:rFonts w:hint="eastAsia"/>
                <w:b/>
                <w:bCs/>
                <w:lang w:val="en-US" w:eastAsia="zh-CN"/>
              </w:rPr>
              <w:t>用地范围</w:t>
            </w:r>
            <w:r>
              <w:rPr>
                <w:rFonts w:hint="eastAsia"/>
                <w:lang w:val="en-US" w:eastAsia="zh-CN"/>
              </w:rPr>
              <w:t>：无新占地</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ascii="Times New Roman" w:hAnsi="Times New Roman" w:eastAsia="仿宋" w:cs="Times New Roman"/>
                <w:b/>
                <w:bCs/>
                <w:kern w:val="2"/>
                <w:sz w:val="32"/>
                <w:szCs w:val="24"/>
                <w:lang w:val="en-US" w:eastAsia="zh-CN" w:bidi="ar-SA"/>
              </w:rPr>
              <w:t>投资规模</w:t>
            </w:r>
            <w:r>
              <w:rPr>
                <w:rFonts w:hint="eastAsia"/>
                <w:lang w:val="en-US" w:eastAsia="zh-CN"/>
              </w:rPr>
              <w:t>：50万</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ascii="Times New Roman" w:hAnsi="Times New Roman" w:eastAsia="仿宋" w:cs="Times New Roman"/>
                <w:b/>
                <w:bCs/>
                <w:kern w:val="2"/>
                <w:sz w:val="32"/>
                <w:szCs w:val="24"/>
                <w:lang w:val="en-US" w:eastAsia="zh-CN" w:bidi="ar-SA"/>
              </w:rPr>
              <w:t>责任单位</w:t>
            </w:r>
            <w:r>
              <w:rPr>
                <w:rFonts w:hint="eastAsia"/>
                <w:lang w:val="en-US" w:eastAsia="zh-CN"/>
              </w:rPr>
              <w:t>：县文化广电和旅游局、县应急局、片区各镇政府。</w:t>
            </w:r>
          </w:p>
        </w:tc>
      </w:tr>
    </w:tbl>
    <w:p>
      <w:pPr>
        <w:pStyle w:val="6"/>
        <w:rPr>
          <w:rFonts w:hint="eastAsia"/>
          <w:lang w:val="en-US" w:eastAsia="zh-CN"/>
        </w:rPr>
      </w:pPr>
    </w:p>
    <w:p>
      <w:pPr>
        <w:pStyle w:val="6"/>
        <w:numPr>
          <w:ilvl w:val="0"/>
          <w:numId w:val="0"/>
        </w:numPr>
        <w:ind w:firstLine="643" w:firstLineChars="200"/>
        <w:jc w:val="both"/>
        <w:outlineLvl w:val="1"/>
        <w:rPr>
          <w:rFonts w:hint="eastAsia" w:ascii="楷体" w:hAnsi="楷体" w:eastAsia="楷体" w:cs="楷体"/>
          <w:b/>
          <w:bCs/>
          <w:lang w:val="en-US" w:eastAsia="zh-CN"/>
        </w:rPr>
      </w:pPr>
      <w:bookmarkStart w:id="44" w:name="_Toc11029"/>
      <w:r>
        <w:rPr>
          <w:rFonts w:hint="eastAsia" w:ascii="楷体" w:hAnsi="楷体" w:eastAsia="楷体" w:cs="楷体"/>
          <w:b/>
          <w:bCs/>
          <w:lang w:val="en-US" w:eastAsia="zh-CN"/>
        </w:rPr>
        <w:t>（六）应急管理共建共治共享方面</w:t>
      </w:r>
      <w:bookmarkEnd w:id="44"/>
    </w:p>
    <w:p>
      <w:pPr>
        <w:rPr>
          <w:rFonts w:hint="eastAsia" w:ascii="仿宋" w:hAnsi="仿宋" w:cs="仿宋"/>
          <w:b w:val="0"/>
          <w:bCs w:val="0"/>
          <w:lang w:val="en-US" w:eastAsia="zh-CN"/>
        </w:rPr>
      </w:pPr>
      <w:r>
        <w:rPr>
          <w:rFonts w:hint="eastAsia" w:ascii="仿宋" w:hAnsi="仿宋" w:cs="仿宋"/>
          <w:b/>
          <w:bCs/>
          <w:lang w:val="en-US" w:eastAsia="zh-CN"/>
        </w:rPr>
        <w:t>1.</w:t>
      </w:r>
      <w:r>
        <w:rPr>
          <w:rFonts w:hint="eastAsia" w:ascii="仿宋" w:hAnsi="仿宋" w:eastAsia="仿宋" w:cs="仿宋"/>
          <w:b/>
          <w:bCs/>
          <w:lang w:val="en-US" w:eastAsia="zh-CN"/>
        </w:rPr>
        <w:t>提升全民安全文化素养。</w:t>
      </w:r>
      <w:r>
        <w:rPr>
          <w:rFonts w:hint="eastAsia" w:ascii="仿宋" w:hAnsi="仿宋" w:cs="仿宋"/>
          <w:b w:val="0"/>
          <w:bCs w:val="0"/>
          <w:lang w:val="en-US" w:eastAsia="zh-CN"/>
        </w:rPr>
        <w:t>推动安全素质教育纳入区域各类教育体系，将自救逃生演练纳入各单位日常要求。设立片区应急宣传培训基地，统合优质教育资源，建立社区移动端宣传系统，实施多途径多手段应急宣传。</w:t>
      </w:r>
    </w:p>
    <w:p>
      <w:pPr>
        <w:pStyle w:val="6"/>
        <w:rPr>
          <w:rFonts w:hint="default"/>
          <w:b/>
          <w:bCs/>
          <w:lang w:val="en-US" w:eastAsia="zh-CN"/>
        </w:rPr>
      </w:pPr>
      <w:r>
        <w:rPr>
          <w:rFonts w:hint="eastAsia" w:ascii="仿宋" w:hAnsi="仿宋" w:cs="仿宋"/>
          <w:b/>
          <w:bCs/>
          <w:lang w:val="en-US" w:eastAsia="zh-CN"/>
        </w:rPr>
        <w:t>2.加强应急文化宣传教育。</w:t>
      </w:r>
      <w:r>
        <w:rPr>
          <w:rFonts w:hint="eastAsia" w:ascii="仿宋" w:hAnsi="仿宋" w:cs="仿宋"/>
          <w:b w:val="0"/>
          <w:bCs w:val="0"/>
          <w:lang w:val="en-US" w:eastAsia="zh-CN"/>
        </w:rPr>
        <w:t>深入持续开展防灾减灾、安全生产等宣传教育活动，通过资料发放、法规政策解读、应急装备展示等多种方式向公众普及安全知识，营造浓厚安全氛围。积极引导公众做好家庭应急物资储备和应急避难知识教育，实现安全应急知识国民教育常态化。开展应急科普进万家活动，努力实现人人懂安全，家家会急救的远景，此举功在当代，利在千秋。</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27"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lang w:val="en-US" w:eastAsia="zh-CN"/>
              </w:rPr>
            </w:pPr>
            <w:r>
              <w:rPr>
                <w:rFonts w:hint="eastAsia"/>
                <w:b/>
                <w:bCs/>
                <w:lang w:val="en-US" w:eastAsia="zh-CN"/>
              </w:rPr>
              <w:t>专栏六  共建共治共享重点工程</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lang w:val="en-US" w:eastAsia="zh-CN"/>
              </w:rPr>
            </w:pPr>
            <w:r>
              <w:rPr>
                <w:rFonts w:hint="eastAsia"/>
                <w:lang w:val="en-US" w:eastAsia="zh-CN"/>
              </w:rPr>
              <w:t>工程11基层应急治理示范工程。</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ind w:firstLine="643" w:firstLineChars="200"/>
              <w:jc w:val="both"/>
              <w:textAlignment w:val="auto"/>
              <w:rPr>
                <w:rFonts w:hint="eastAsia"/>
                <w:b/>
                <w:bCs/>
                <w:lang w:val="en-US" w:eastAsia="zh-CN"/>
              </w:rPr>
            </w:pPr>
            <w:r>
              <w:rPr>
                <w:rFonts w:hint="eastAsia"/>
                <w:b/>
                <w:bCs/>
                <w:lang w:val="en-US" w:eastAsia="zh-CN"/>
              </w:rPr>
              <w:t>建设内容</w:t>
            </w:r>
            <w:r>
              <w:rPr>
                <w:rFonts w:hint="eastAsia"/>
                <w:lang w:val="en-US" w:eastAsia="zh-CN"/>
              </w:rPr>
              <w:t>：创建国家级防震减灾科普示范学校1所、创建省级安全示范社区2个，综合减灾示范村（社区）2个。</w:t>
            </w:r>
          </w:p>
          <w:p>
            <w:pPr>
              <w:pStyle w:val="6"/>
              <w:keepNext w:val="0"/>
              <w:keepLines w:val="0"/>
              <w:pageBreakBefore w:val="0"/>
              <w:widowControl w:val="0"/>
              <w:kinsoku/>
              <w:wordWrap/>
              <w:overflowPunct/>
              <w:topLinePunct w:val="0"/>
              <w:autoSpaceDE/>
              <w:autoSpaceDN/>
              <w:bidi w:val="0"/>
              <w:adjustRightInd/>
              <w:snapToGrid/>
              <w:spacing w:after="0"/>
              <w:ind w:left="0" w:leftChars="0" w:firstLine="643" w:firstLineChars="200"/>
              <w:jc w:val="both"/>
              <w:textAlignment w:val="auto"/>
              <w:rPr>
                <w:rFonts w:hint="eastAsia"/>
                <w:lang w:val="en-US" w:eastAsia="zh-CN"/>
              </w:rPr>
            </w:pPr>
            <w:r>
              <w:rPr>
                <w:rFonts w:hint="eastAsia"/>
                <w:b/>
                <w:bCs/>
                <w:lang w:val="en-US" w:eastAsia="zh-CN"/>
              </w:rPr>
              <w:t>项目功能</w:t>
            </w:r>
            <w:r>
              <w:rPr>
                <w:rFonts w:hint="eastAsia"/>
                <w:lang w:val="en-US" w:eastAsia="zh-CN"/>
              </w:rPr>
              <w:t>：提高公众防灾避险意识。</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ascii="Times New Roman" w:hAnsi="Times New Roman" w:eastAsia="仿宋" w:cs="Times New Roman"/>
                <w:b/>
                <w:bCs/>
                <w:kern w:val="2"/>
                <w:sz w:val="32"/>
                <w:szCs w:val="24"/>
                <w:lang w:val="en-US" w:eastAsia="zh-CN" w:bidi="ar-SA"/>
              </w:rPr>
              <w:t>建设地点</w:t>
            </w:r>
            <w:r>
              <w:rPr>
                <w:rFonts w:hint="eastAsia"/>
                <w:lang w:val="en-US" w:eastAsia="zh-CN"/>
              </w:rPr>
              <w:t>：无</w:t>
            </w:r>
          </w:p>
          <w:p>
            <w:pPr>
              <w:pStyle w:val="6"/>
              <w:keepNext w:val="0"/>
              <w:keepLines w:val="0"/>
              <w:pageBreakBefore w:val="0"/>
              <w:widowControl w:val="0"/>
              <w:kinsoku/>
              <w:wordWrap/>
              <w:overflowPunct/>
              <w:topLinePunct w:val="0"/>
              <w:autoSpaceDE/>
              <w:autoSpaceDN/>
              <w:bidi w:val="0"/>
              <w:adjustRightInd/>
              <w:snapToGrid/>
              <w:spacing w:after="0"/>
              <w:ind w:left="0" w:leftChars="0" w:firstLine="643" w:firstLineChars="200"/>
              <w:jc w:val="both"/>
              <w:textAlignment w:val="auto"/>
              <w:rPr>
                <w:rFonts w:hint="default"/>
                <w:lang w:val="en-US" w:eastAsia="zh-CN"/>
              </w:rPr>
            </w:pPr>
            <w:r>
              <w:rPr>
                <w:rFonts w:hint="eastAsia"/>
                <w:b/>
                <w:bCs/>
                <w:lang w:val="en-US" w:eastAsia="zh-CN"/>
              </w:rPr>
              <w:t>用地范围</w:t>
            </w:r>
            <w:r>
              <w:rPr>
                <w:rFonts w:hint="eastAsia"/>
                <w:lang w:val="en-US" w:eastAsia="zh-CN"/>
              </w:rPr>
              <w:t>：无新占地</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ascii="Times New Roman" w:hAnsi="Times New Roman" w:eastAsia="仿宋" w:cs="Times New Roman"/>
                <w:b/>
                <w:bCs/>
                <w:kern w:val="2"/>
                <w:sz w:val="32"/>
                <w:szCs w:val="24"/>
                <w:lang w:val="en-US" w:eastAsia="zh-CN" w:bidi="ar-SA"/>
              </w:rPr>
              <w:t>投资规模</w:t>
            </w:r>
            <w:r>
              <w:rPr>
                <w:rFonts w:hint="eastAsia"/>
                <w:lang w:val="en-US" w:eastAsia="zh-CN"/>
              </w:rPr>
              <w:t>：100万</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ascii="Times New Roman" w:hAnsi="Times New Roman" w:eastAsia="仿宋" w:cs="Times New Roman"/>
                <w:b/>
                <w:bCs/>
                <w:kern w:val="2"/>
                <w:sz w:val="32"/>
                <w:szCs w:val="24"/>
                <w:lang w:val="en-US" w:eastAsia="zh-CN" w:bidi="ar-SA"/>
              </w:rPr>
              <w:t>责任单位</w:t>
            </w:r>
            <w:r>
              <w:rPr>
                <w:rFonts w:hint="eastAsia"/>
                <w:lang w:val="en-US" w:eastAsia="zh-CN"/>
              </w:rPr>
              <w:t>：县应急局、片区各街道/社区</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highlight w:val="yellow"/>
                <w:lang w:val="en-US" w:eastAsia="zh-CN"/>
              </w:rPr>
            </w:pPr>
            <w:r>
              <w:rPr>
                <w:rFonts w:hint="eastAsia"/>
                <w:lang w:val="en-US" w:eastAsia="zh-CN"/>
              </w:rPr>
              <w:t>工程12应急科普进万家工程。</w:t>
            </w:r>
          </w:p>
          <w:p>
            <w:pPr>
              <w:spacing w:line="590" w:lineRule="exact"/>
              <w:ind w:firstLine="643" w:firstLineChars="200"/>
              <w:jc w:val="both"/>
              <w:rPr>
                <w:rFonts w:hint="eastAsia"/>
                <w:lang w:val="en-US" w:eastAsia="zh-CN"/>
              </w:rPr>
            </w:pPr>
            <w:r>
              <w:rPr>
                <w:rFonts w:hint="eastAsia"/>
                <w:b/>
                <w:bCs/>
                <w:lang w:val="en-US" w:eastAsia="zh-CN"/>
              </w:rPr>
              <w:t>建设内容：</w:t>
            </w:r>
            <w:r>
              <w:rPr>
                <w:rFonts w:hint="default" w:ascii="宋体" w:hAnsi="宋体" w:eastAsia="方正仿宋_GBK" w:cs="方正仿宋_GBK"/>
                <w:sz w:val="33"/>
                <w:szCs w:val="33"/>
              </w:rPr>
              <w:t>按照“乡镇建站、村社设点”的原则，</w:t>
            </w:r>
            <w:r>
              <w:rPr>
                <w:rFonts w:hint="eastAsia" w:ascii="宋体" w:hAnsi="宋体" w:eastAsia="方正仿宋_GBK" w:cs="方正仿宋_GBK"/>
                <w:sz w:val="33"/>
                <w:szCs w:val="33"/>
                <w:lang w:val="en-US" w:eastAsia="zh-CN"/>
              </w:rPr>
              <w:t>5</w:t>
            </w:r>
            <w:r>
              <w:rPr>
                <w:rFonts w:hint="default" w:ascii="宋体" w:hAnsi="宋体" w:eastAsia="方正仿宋_GBK" w:cs="方正仿宋_GBK"/>
                <w:sz w:val="33"/>
                <w:szCs w:val="33"/>
              </w:rPr>
              <w:t>个乡镇要有</w:t>
            </w:r>
            <w:r>
              <w:rPr>
                <w:rFonts w:hint="eastAsia" w:ascii="宋体" w:hAnsi="宋体" w:eastAsia="方正仿宋_GBK" w:cs="方正仿宋_GBK"/>
                <w:sz w:val="33"/>
                <w:szCs w:val="33"/>
                <w:lang w:val="en-US" w:eastAsia="zh-CN"/>
              </w:rPr>
              <w:t>应急</w:t>
            </w:r>
            <w:r>
              <w:rPr>
                <w:rFonts w:hint="default" w:ascii="宋体" w:hAnsi="宋体" w:eastAsia="方正仿宋_GBK" w:cs="方正仿宋_GBK"/>
                <w:sz w:val="33"/>
                <w:szCs w:val="33"/>
              </w:rPr>
              <w:t>宣传站、</w:t>
            </w:r>
            <w:r>
              <w:rPr>
                <w:rFonts w:hint="eastAsia" w:ascii="宋体" w:hAnsi="宋体" w:eastAsia="方正仿宋_GBK" w:cs="方正仿宋_GBK"/>
                <w:sz w:val="33"/>
                <w:szCs w:val="33"/>
                <w:lang w:val="en-US" w:eastAsia="zh-CN"/>
              </w:rPr>
              <w:t>72</w:t>
            </w:r>
            <w:r>
              <w:rPr>
                <w:rFonts w:hint="default" w:ascii="宋体" w:hAnsi="宋体" w:eastAsia="方正仿宋_GBK" w:cs="方正仿宋_GBK"/>
                <w:sz w:val="33"/>
                <w:szCs w:val="33"/>
              </w:rPr>
              <w:t>个村（社区）要有</w:t>
            </w:r>
            <w:r>
              <w:rPr>
                <w:rFonts w:hint="eastAsia" w:ascii="宋体" w:hAnsi="宋体" w:eastAsia="方正仿宋_GBK" w:cs="方正仿宋_GBK"/>
                <w:sz w:val="33"/>
                <w:szCs w:val="33"/>
                <w:lang w:val="en-US" w:eastAsia="zh-CN"/>
              </w:rPr>
              <w:t>应急</w:t>
            </w:r>
            <w:r>
              <w:rPr>
                <w:rFonts w:hint="default" w:ascii="宋体" w:hAnsi="宋体" w:eastAsia="方正仿宋_GBK" w:cs="方正仿宋_GBK"/>
                <w:sz w:val="33"/>
                <w:szCs w:val="33"/>
              </w:rPr>
              <w:t>宣传点</w:t>
            </w:r>
            <w:r>
              <w:rPr>
                <w:rFonts w:hint="eastAsia" w:ascii="宋体" w:hAnsi="宋体" w:eastAsia="方正仿宋_GBK" w:cs="方正仿宋_GBK"/>
                <w:sz w:val="33"/>
                <w:szCs w:val="33"/>
                <w:lang w:eastAsia="zh-CN"/>
              </w:rPr>
              <w:t>。</w:t>
            </w:r>
            <w:r>
              <w:rPr>
                <w:rFonts w:hint="eastAsia"/>
                <w:lang w:val="en-US" w:eastAsia="zh-CN"/>
              </w:rPr>
              <w:t>增加应急知识科普书籍、应急管理时事资讯等。各乡镇利用防灾减灾日、安全生产月、消防宣传月等重要节点组织开展应急知识培训、竞赛类活动，通过活动分发家庭版应急救援包</w:t>
            </w:r>
            <w:r>
              <w:rPr>
                <w:rFonts w:hint="default" w:ascii="宋体" w:hAnsi="宋体" w:eastAsia="方正仿宋_GBK" w:cs="方正仿宋_GBK"/>
                <w:sz w:val="33"/>
                <w:szCs w:val="33"/>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ind w:firstLine="643" w:firstLineChars="200"/>
              <w:jc w:val="both"/>
              <w:textAlignment w:val="auto"/>
              <w:rPr>
                <w:rFonts w:hint="eastAsia" w:ascii="Times New Roman" w:hAnsi="Times New Roman" w:eastAsia="仿宋" w:cs="Times New Roman"/>
                <w:b/>
                <w:bCs/>
                <w:kern w:val="2"/>
                <w:sz w:val="32"/>
                <w:szCs w:val="24"/>
                <w:lang w:val="en-US" w:eastAsia="zh-CN" w:bidi="ar-SA"/>
              </w:rPr>
            </w:pPr>
            <w:r>
              <w:rPr>
                <w:rFonts w:hint="eastAsia"/>
                <w:b/>
                <w:bCs/>
                <w:lang w:val="en-US" w:eastAsia="zh-CN"/>
              </w:rPr>
              <w:t>项目功能</w:t>
            </w:r>
            <w:r>
              <w:rPr>
                <w:rFonts w:hint="eastAsia"/>
                <w:lang w:val="en-US" w:eastAsia="zh-CN"/>
              </w:rPr>
              <w:t>：</w:t>
            </w:r>
            <w:r>
              <w:rPr>
                <w:rFonts w:hint="default" w:ascii="宋体" w:hAnsi="宋体" w:eastAsia="方正仿宋_GBK" w:cs="方正仿宋_GBK"/>
                <w:sz w:val="33"/>
                <w:szCs w:val="33"/>
              </w:rPr>
              <w:t>实现组织机构、人员队伍、处置流程、风险分布、物资台账、包联清单等“六要件”挂图上墙，具备现场演示、资料发放、现场解说、视频推送等宣传教育功能</w:t>
            </w:r>
            <w:r>
              <w:rPr>
                <w:rFonts w:hint="eastAsia" w:ascii="宋体" w:hAnsi="宋体" w:eastAsia="方正仿宋_GBK" w:cs="方正仿宋_GBK"/>
                <w:sz w:val="33"/>
                <w:szCs w:val="33"/>
                <w:lang w:eastAsia="zh-CN"/>
              </w:rPr>
              <w:t>。</w:t>
            </w:r>
            <w:r>
              <w:rPr>
                <w:rFonts w:hint="eastAsia"/>
                <w:lang w:val="en-US" w:eastAsia="zh-CN"/>
              </w:rPr>
              <w:t>努力实现人人懂安全，家家会急救的愿景，此举功在当代，利在千秋。</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ascii="Times New Roman" w:hAnsi="Times New Roman" w:eastAsia="仿宋" w:cs="Times New Roman"/>
                <w:b/>
                <w:bCs/>
                <w:kern w:val="2"/>
                <w:sz w:val="32"/>
                <w:szCs w:val="24"/>
                <w:lang w:val="en-US" w:eastAsia="zh-CN" w:bidi="ar-SA"/>
              </w:rPr>
              <w:t>建设地点</w:t>
            </w:r>
            <w:r>
              <w:rPr>
                <w:rFonts w:hint="eastAsia"/>
                <w:lang w:val="en-US" w:eastAsia="zh-CN"/>
              </w:rPr>
              <w:t>：片区各镇、各村/社区</w:t>
            </w:r>
          </w:p>
          <w:p>
            <w:pPr>
              <w:pStyle w:val="6"/>
              <w:keepNext w:val="0"/>
              <w:keepLines w:val="0"/>
              <w:pageBreakBefore w:val="0"/>
              <w:widowControl w:val="0"/>
              <w:kinsoku/>
              <w:wordWrap/>
              <w:overflowPunct/>
              <w:topLinePunct w:val="0"/>
              <w:autoSpaceDE/>
              <w:autoSpaceDN/>
              <w:bidi w:val="0"/>
              <w:adjustRightInd/>
              <w:snapToGrid/>
              <w:spacing w:after="0"/>
              <w:ind w:left="0" w:leftChars="0" w:firstLine="643" w:firstLineChars="200"/>
              <w:jc w:val="both"/>
              <w:textAlignment w:val="auto"/>
              <w:rPr>
                <w:rFonts w:hint="default"/>
                <w:lang w:val="en-US" w:eastAsia="zh-CN"/>
              </w:rPr>
            </w:pPr>
            <w:r>
              <w:rPr>
                <w:rFonts w:hint="eastAsia"/>
                <w:b/>
                <w:bCs/>
                <w:lang w:val="en-US" w:eastAsia="zh-CN"/>
              </w:rPr>
              <w:t>用地范围</w:t>
            </w:r>
            <w:r>
              <w:rPr>
                <w:rFonts w:hint="eastAsia"/>
                <w:lang w:val="en-US" w:eastAsia="zh-CN"/>
              </w:rPr>
              <w:t>：无新占地</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b/>
                <w:bCs/>
                <w:lang w:val="en-US" w:eastAsia="zh-CN"/>
              </w:rPr>
              <w:t>投资规模</w:t>
            </w:r>
            <w:r>
              <w:rPr>
                <w:rFonts w:hint="eastAsia"/>
                <w:lang w:val="en-US" w:eastAsia="zh-CN"/>
              </w:rPr>
              <w:t>：50万</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default"/>
                <w:lang w:val="en-US" w:eastAsia="zh-CN"/>
              </w:rPr>
            </w:pPr>
            <w:r>
              <w:rPr>
                <w:rFonts w:hint="eastAsia" w:ascii="Times New Roman" w:hAnsi="Times New Roman" w:eastAsia="仿宋" w:cs="Times New Roman"/>
                <w:b/>
                <w:bCs/>
                <w:kern w:val="2"/>
                <w:sz w:val="32"/>
                <w:szCs w:val="24"/>
                <w:lang w:val="en-US" w:eastAsia="zh-CN" w:bidi="ar-SA"/>
              </w:rPr>
              <w:t>责任单位</w:t>
            </w:r>
            <w:r>
              <w:rPr>
                <w:rFonts w:hint="eastAsia"/>
                <w:lang w:val="en-US" w:eastAsia="zh-CN"/>
              </w:rPr>
              <w:t>：县应急局、片区各街道/社区</w:t>
            </w:r>
          </w:p>
        </w:tc>
      </w:tr>
    </w:tbl>
    <w:p>
      <w:pPr>
        <w:rPr>
          <w:rFonts w:hint="eastAsia"/>
          <w:lang w:val="en-US" w:eastAsia="zh-CN"/>
        </w:rPr>
      </w:pPr>
      <w:r>
        <w:rPr>
          <w:rFonts w:hint="eastAsia"/>
          <w:lang w:val="en-US" w:eastAsia="zh-CN"/>
        </w:rPr>
        <w:br w:type="page"/>
      </w:r>
    </w:p>
    <w:p>
      <w:pPr>
        <w:numPr>
          <w:ilvl w:val="0"/>
          <w:numId w:val="1"/>
        </w:numPr>
        <w:ind w:left="0" w:leftChars="0" w:firstLine="0" w:firstLineChars="0"/>
        <w:jc w:val="center"/>
        <w:outlineLvl w:val="0"/>
        <w:rPr>
          <w:rFonts w:hint="eastAsia" w:ascii="黑体" w:hAnsi="黑体" w:eastAsia="黑体" w:cs="黑体"/>
          <w:lang w:val="en-US" w:eastAsia="zh-CN"/>
        </w:rPr>
      </w:pPr>
      <w:bookmarkStart w:id="45" w:name="_Toc7490"/>
      <w:r>
        <w:rPr>
          <w:rFonts w:hint="eastAsia" w:ascii="黑体" w:hAnsi="黑体" w:eastAsia="黑体" w:cs="黑体"/>
          <w:lang w:val="en-US" w:eastAsia="zh-CN"/>
        </w:rPr>
        <w:t xml:space="preserve"> 保障措施</w:t>
      </w:r>
      <w:bookmarkEnd w:id="45"/>
    </w:p>
    <w:p>
      <w:pPr>
        <w:pStyle w:val="6"/>
        <w:numPr>
          <w:ilvl w:val="0"/>
          <w:numId w:val="2"/>
        </w:numPr>
        <w:jc w:val="both"/>
        <w:rPr>
          <w:rFonts w:hint="eastAsia" w:ascii="楷体" w:hAnsi="楷体" w:eastAsia="楷体" w:cs="楷体"/>
          <w:lang w:val="en-US" w:eastAsia="zh-CN"/>
        </w:rPr>
      </w:pPr>
      <w:r>
        <w:rPr>
          <w:rFonts w:hint="eastAsia" w:ascii="楷体" w:hAnsi="楷体" w:eastAsia="楷体" w:cs="楷体"/>
          <w:lang w:val="en-US" w:eastAsia="zh-CN"/>
        </w:rPr>
        <w:t>组织保障</w:t>
      </w:r>
    </w:p>
    <w:p>
      <w:pPr>
        <w:rPr>
          <w:rFonts w:hint="default" w:ascii="仿宋" w:hAnsi="仿宋" w:eastAsia="仿宋" w:cs="仿宋"/>
          <w:lang w:val="en-US" w:eastAsia="zh-CN"/>
        </w:rPr>
      </w:pPr>
      <w:r>
        <w:rPr>
          <w:rFonts w:hint="eastAsia" w:ascii="仿宋" w:hAnsi="仿宋" w:eastAsia="仿宋" w:cs="仿宋"/>
          <w:lang w:val="en-US" w:eastAsia="zh-CN"/>
        </w:rPr>
        <w:t>根据本</w:t>
      </w:r>
      <w:r>
        <w:rPr>
          <w:rFonts w:hint="eastAsia" w:ascii="仿宋" w:hAnsi="仿宋" w:cs="仿宋"/>
          <w:lang w:val="en-US" w:eastAsia="zh-CN"/>
        </w:rPr>
        <w:t>规划要求，县、乡镇人民政府和县应急管理局其他负有应急工作职责的行业部门要密切协调配合，建立分工协作机制，制定规划实施方案，细化目标任务，落实责任主体，加强规划实施与年度计划的衔接，明确规划各项任务的推进计划、时间节点和阶段目标确。确保规划实施有序推进，重大举措有效落地，各项目标如期实现。</w:t>
      </w:r>
    </w:p>
    <w:p>
      <w:pPr>
        <w:numPr>
          <w:ilvl w:val="0"/>
          <w:numId w:val="2"/>
        </w:numPr>
        <w:jc w:val="both"/>
        <w:rPr>
          <w:rFonts w:hint="eastAsia" w:ascii="楷体" w:hAnsi="楷体" w:eastAsia="楷体" w:cs="楷体"/>
          <w:lang w:val="en-US" w:eastAsia="zh-CN"/>
        </w:rPr>
      </w:pPr>
      <w:r>
        <w:rPr>
          <w:rFonts w:hint="eastAsia" w:ascii="楷体" w:hAnsi="楷体" w:eastAsia="楷体" w:cs="楷体"/>
          <w:lang w:val="en-US" w:eastAsia="zh-CN"/>
        </w:rPr>
        <w:t>资金保障</w:t>
      </w:r>
    </w:p>
    <w:p>
      <w:pPr>
        <w:pStyle w:val="6"/>
        <w:rPr>
          <w:rFonts w:hint="default" w:ascii="仿宋" w:hAnsi="仿宋" w:eastAsia="仿宋" w:cs="仿宋"/>
          <w:kern w:val="2"/>
          <w:sz w:val="32"/>
          <w:szCs w:val="24"/>
          <w:lang w:val="en-US" w:eastAsia="zh-CN" w:bidi="ar-SA"/>
        </w:rPr>
      </w:pPr>
      <w:r>
        <w:rPr>
          <w:rFonts w:hint="eastAsia" w:ascii="仿宋" w:hAnsi="仿宋" w:eastAsia="仿宋" w:cs="仿宋"/>
          <w:kern w:val="2"/>
          <w:sz w:val="32"/>
          <w:szCs w:val="24"/>
          <w:lang w:val="en-US" w:eastAsia="zh-CN" w:bidi="ar-SA"/>
        </w:rPr>
        <w:t>结合政府应急</w:t>
      </w:r>
      <w:r>
        <w:rPr>
          <w:rFonts w:hint="eastAsia" w:ascii="仿宋" w:hAnsi="仿宋" w:cs="仿宋"/>
          <w:kern w:val="2"/>
          <w:sz w:val="32"/>
          <w:szCs w:val="24"/>
          <w:lang w:val="en-US" w:eastAsia="zh-CN" w:bidi="ar-SA"/>
        </w:rPr>
        <w:t>资金保障机制，优化资金投入机制，将应急管理规划作为政府优先实施项目和财政重点支持对象，强化应急管理的人、财、物投入保障，建立与辖区经济社会发展水平相适应的应急管理资金动态增长机制。建立健全政府、企业、社会相结合的多元化投入保障机制，引导社会资金发挥作用，动员全社会广泛参与应急管理事业建设，保障工程项目实施落地。加强资金的使用和监管。</w:t>
      </w:r>
    </w:p>
    <w:p>
      <w:pPr>
        <w:pStyle w:val="6"/>
        <w:numPr>
          <w:ilvl w:val="0"/>
          <w:numId w:val="2"/>
        </w:numPr>
        <w:ind w:left="0" w:leftChars="0" w:firstLine="640" w:firstLineChars="200"/>
        <w:jc w:val="both"/>
        <w:rPr>
          <w:rFonts w:hint="eastAsia" w:ascii="楷体" w:hAnsi="楷体" w:eastAsia="楷体" w:cs="楷体"/>
          <w:lang w:val="en-US" w:eastAsia="zh-CN"/>
        </w:rPr>
      </w:pPr>
      <w:r>
        <w:rPr>
          <w:rFonts w:hint="eastAsia" w:ascii="楷体" w:hAnsi="楷体" w:eastAsia="楷体" w:cs="楷体"/>
          <w:lang w:val="en-US" w:eastAsia="zh-CN"/>
        </w:rPr>
        <w:t>政策保障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lang w:val="en-US" w:eastAsia="zh-CN"/>
        </w:rPr>
      </w:pPr>
      <w:r>
        <w:rPr>
          <w:rFonts w:hint="eastAsia"/>
          <w:lang w:val="en-US" w:eastAsia="zh-CN"/>
        </w:rPr>
        <w:t>严格按照省委关于做好两项改革“后半篇”文章部署要求，统筹发展与安全，统筹推进基层应急管理体系和应急能力建设。各镇政府要履行属地主体责任，制定辖区应急体系规划，组织实施重点项目。片区管狭镇开展规划实施年度监测分析、中期评估和终期评估，及时公布进展情况，加强对片区规划实施情况的监督检查和考核评估，确保工作有序推进。</w:t>
      </w:r>
    </w:p>
    <w:p>
      <w:pPr>
        <w:numPr>
          <w:ilvl w:val="0"/>
          <w:numId w:val="2"/>
        </w:numPr>
        <w:ind w:left="0" w:leftChars="0" w:firstLine="640" w:firstLineChars="200"/>
        <w:jc w:val="both"/>
        <w:rPr>
          <w:rFonts w:hint="eastAsia" w:ascii="楷体" w:hAnsi="楷体" w:eastAsia="楷体" w:cs="楷体"/>
          <w:lang w:val="en-US" w:eastAsia="zh-CN"/>
        </w:rPr>
      </w:pPr>
      <w:r>
        <w:rPr>
          <w:rFonts w:hint="eastAsia" w:ascii="楷体" w:hAnsi="楷体" w:eastAsia="楷体" w:cs="楷体"/>
          <w:lang w:val="en-US" w:eastAsia="zh-CN"/>
        </w:rPr>
        <w:t>督查问效</w:t>
      </w:r>
    </w:p>
    <w:p>
      <w:pPr>
        <w:pStyle w:val="6"/>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lang w:val="en-US" w:eastAsia="zh-CN"/>
        </w:rPr>
      </w:pPr>
      <w:r>
        <w:rPr>
          <w:rFonts w:hint="eastAsia"/>
          <w:lang w:val="en-US" w:eastAsia="zh-CN"/>
        </w:rPr>
        <w:t>各乡镇要将应急管理体系和能力现代化建设纳入乡镇党政领导干部政绩考核内容，全面实施安全生产清单制管理，制定“责任清单”、“权责清单”，“年度工作清单”，细化压实工作职责。编制完成后要向社会公开，广泛征求群众意见，接受群众监督，积极开展动态监测，分析存在的问题，提出改进建议，加强督促落实，及时向社会公布进展情况报告。</w:t>
      </w:r>
    </w:p>
    <w:p>
      <w:pPr>
        <w:rPr>
          <w:rFonts w:hint="default"/>
          <w:lang w:val="en-US" w:eastAsia="zh-CN"/>
        </w:rPr>
      </w:pPr>
      <w:r>
        <w:rPr>
          <w:rFonts w:hint="default"/>
          <w:lang w:val="en-US" w:eastAsia="zh-CN"/>
        </w:rPr>
        <w:br w:type="page"/>
      </w:r>
    </w:p>
    <w:p>
      <w:pPr>
        <w:numPr>
          <w:ilvl w:val="0"/>
          <w:numId w:val="1"/>
        </w:numPr>
        <w:ind w:left="0" w:leftChars="0" w:firstLine="0" w:firstLineChars="0"/>
        <w:jc w:val="center"/>
        <w:outlineLvl w:val="0"/>
        <w:rPr>
          <w:rFonts w:hint="default" w:ascii="黑体" w:hAnsi="黑体" w:eastAsia="黑体" w:cs="黑体"/>
          <w:lang w:val="en-US" w:eastAsia="zh-CN"/>
        </w:rPr>
      </w:pPr>
      <w:bookmarkStart w:id="46" w:name="_Toc5465"/>
      <w:r>
        <w:rPr>
          <w:rFonts w:hint="eastAsia" w:ascii="黑体" w:hAnsi="黑体" w:eastAsia="黑体" w:cs="黑体"/>
          <w:lang w:val="en-US" w:eastAsia="zh-CN"/>
        </w:rPr>
        <w:t>附图</w:t>
      </w:r>
      <w:bookmarkEnd w:id="46"/>
    </w:p>
    <w:p>
      <w:pPr>
        <w:pStyle w:val="6"/>
        <w:keepNext w:val="0"/>
        <w:keepLines w:val="0"/>
        <w:pageBreakBefore w:val="0"/>
        <w:widowControl w:val="0"/>
        <w:numPr>
          <w:ilvl w:val="0"/>
          <w:numId w:val="0"/>
        </w:numPr>
        <w:kinsoku/>
        <w:wordWrap/>
        <w:overflowPunct/>
        <w:topLinePunct w:val="0"/>
        <w:autoSpaceDE/>
        <w:autoSpaceDN/>
        <w:bidi w:val="0"/>
        <w:adjustRightInd/>
        <w:snapToGrid/>
        <w:spacing w:after="0"/>
        <w:jc w:val="left"/>
        <w:textAlignment w:val="auto"/>
        <w:rPr>
          <w:rFonts w:hint="eastAsia"/>
          <w:lang w:val="en-US" w:eastAsia="zh-CN"/>
        </w:rPr>
      </w:pPr>
      <w:r>
        <w:rPr>
          <w:rFonts w:hint="eastAsia"/>
          <w:lang w:val="en-US" w:eastAsia="zh-CN"/>
        </w:rPr>
        <w:t>1.片区企业风险等级及分布表</w:t>
      </w:r>
    </w:p>
    <w:p>
      <w:pPr>
        <w:numPr>
          <w:ilvl w:val="0"/>
          <w:numId w:val="3"/>
        </w:numPr>
        <w:ind w:left="0" w:leftChars="0" w:firstLine="0" w:firstLineChars="0"/>
        <w:jc w:val="left"/>
        <w:rPr>
          <w:rFonts w:hint="eastAsia"/>
          <w:lang w:val="en-US" w:eastAsia="zh-CN"/>
        </w:rPr>
      </w:pPr>
      <w:r>
        <w:rPr>
          <w:rFonts w:hint="eastAsia"/>
          <w:lang w:val="en-US" w:eastAsia="zh-CN"/>
        </w:rPr>
        <w:t>片区近年来典型生产和自然灾害事故统计表</w:t>
      </w:r>
    </w:p>
    <w:p>
      <w:pPr>
        <w:numPr>
          <w:ilvl w:val="0"/>
          <w:numId w:val="3"/>
        </w:numPr>
        <w:ind w:left="0" w:leftChars="0" w:firstLine="0" w:firstLineChars="0"/>
        <w:jc w:val="left"/>
        <w:rPr>
          <w:rFonts w:hint="eastAsia"/>
          <w:lang w:val="en-US" w:eastAsia="zh-CN"/>
        </w:rPr>
      </w:pPr>
      <w:r>
        <w:rPr>
          <w:rFonts w:hint="eastAsia"/>
          <w:lang w:val="en-US" w:eastAsia="zh-CN"/>
        </w:rPr>
        <w:t>片区应急队伍统计及分布表</w:t>
      </w:r>
    </w:p>
    <w:p>
      <w:pPr>
        <w:pStyle w:val="6"/>
        <w:keepNext w:val="0"/>
        <w:keepLines w:val="0"/>
        <w:pageBreakBefore w:val="0"/>
        <w:widowControl w:val="0"/>
        <w:numPr>
          <w:ilvl w:val="0"/>
          <w:numId w:val="3"/>
        </w:numPr>
        <w:kinsoku/>
        <w:wordWrap/>
        <w:overflowPunct/>
        <w:topLinePunct w:val="0"/>
        <w:autoSpaceDE/>
        <w:autoSpaceDN/>
        <w:bidi w:val="0"/>
        <w:adjustRightInd/>
        <w:snapToGrid/>
        <w:spacing w:after="0"/>
        <w:ind w:left="0" w:leftChars="0" w:firstLine="0" w:firstLineChars="0"/>
        <w:jc w:val="left"/>
        <w:textAlignment w:val="auto"/>
        <w:rPr>
          <w:rFonts w:hint="eastAsia"/>
          <w:lang w:val="en-US" w:eastAsia="zh-CN"/>
        </w:rPr>
      </w:pPr>
      <w:r>
        <w:rPr>
          <w:rFonts w:hint="eastAsia"/>
          <w:lang w:val="en-US" w:eastAsia="zh-CN"/>
        </w:rPr>
        <w:t>片区应急救援装备、物资统计及分布表</w:t>
      </w:r>
    </w:p>
    <w:p>
      <w:pPr>
        <w:numPr>
          <w:ilvl w:val="0"/>
          <w:numId w:val="3"/>
        </w:numPr>
        <w:ind w:left="0" w:leftChars="0" w:firstLine="0" w:firstLineChars="0"/>
        <w:jc w:val="left"/>
        <w:rPr>
          <w:rFonts w:hint="default"/>
          <w:lang w:val="en-US" w:eastAsia="zh-CN"/>
        </w:rPr>
      </w:pPr>
      <w:r>
        <w:rPr>
          <w:rFonts w:hint="eastAsia"/>
          <w:lang w:val="en-US" w:eastAsia="zh-CN"/>
        </w:rPr>
        <w:t>片区应急管理用地现状和规划用地指标</w:t>
      </w:r>
    </w:p>
    <w:p>
      <w:pPr>
        <w:pStyle w:val="6"/>
        <w:ind w:left="0" w:leftChars="0" w:firstLine="0" w:firstLineChars="0"/>
        <w:jc w:val="left"/>
        <w:rPr>
          <w:rFonts w:hint="default"/>
          <w:lang w:val="en-US" w:eastAsia="zh-CN"/>
        </w:rPr>
      </w:pPr>
      <w:r>
        <w:rPr>
          <w:rFonts w:hint="eastAsia"/>
          <w:lang w:val="en-US" w:eastAsia="zh-CN"/>
        </w:rPr>
        <w:t>6.片区重点工程项目统计表</w:t>
      </w:r>
    </w:p>
    <w:p>
      <w:pPr>
        <w:rPr>
          <w:rFonts w:hint="default"/>
          <w:lang w:val="en-US" w:eastAsia="zh-CN"/>
        </w:rPr>
      </w:pPr>
      <w:r>
        <w:rPr>
          <w:rFonts w:hint="default"/>
          <w:lang w:val="en-US" w:eastAsia="zh-CN"/>
        </w:rPr>
        <w:br w:type="page"/>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jc w:val="left"/>
        <w:textAlignment w:val="auto"/>
        <w:rPr>
          <w:rFonts w:hint="default"/>
          <w:lang w:val="en-US" w:eastAsia="zh-CN"/>
        </w:rPr>
      </w:pPr>
      <w:r>
        <w:rPr>
          <w:rFonts w:hint="eastAsia"/>
          <w:lang w:val="en-US" w:eastAsia="zh-CN"/>
        </w:rPr>
        <w:t>1.片区企业风险等级及分布表</w:t>
      </w:r>
    </w:p>
    <w:tbl>
      <w:tblPr>
        <w:tblStyle w:val="12"/>
        <w:tblpPr w:leftFromText="180" w:rightFromText="180" w:vertAnchor="text" w:horzAnchor="page" w:tblpX="790" w:tblpY="363"/>
        <w:tblOverlap w:val="never"/>
        <w:tblW w:w="5412"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7"/>
        <w:gridCol w:w="2474"/>
        <w:gridCol w:w="1620"/>
        <w:gridCol w:w="1342"/>
        <w:gridCol w:w="1342"/>
        <w:gridCol w:w="1748"/>
        <w:gridCol w:w="6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000" w:type="pct"/>
            <w:gridSpan w:val="7"/>
            <w:tcBorders>
              <w:bottom w:val="single" w:color="000000" w:sz="4" w:space="0"/>
            </w:tcBorders>
            <w:shd w:val="clear" w:color="auto" w:fill="auto"/>
            <w:vAlign w:val="top"/>
          </w:tcPr>
          <w:p>
            <w:pPr>
              <w:keepNext w:val="0"/>
              <w:keepLines w:val="0"/>
              <w:widowControl/>
              <w:suppressLineNumbers w:val="0"/>
              <w:jc w:val="center"/>
              <w:textAlignment w:val="top"/>
              <w:rPr>
                <w:rFonts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企业风险等级及分布表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05" w:type="pc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序号</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企业名称</w:t>
            </w:r>
          </w:p>
        </w:tc>
        <w:tc>
          <w:tcPr>
            <w:tcW w:w="8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行业类型</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地址</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风险等级</w:t>
            </w:r>
          </w:p>
        </w:tc>
        <w:tc>
          <w:tcPr>
            <w:tcW w:w="8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生产情况</w:t>
            </w:r>
          </w:p>
        </w:tc>
        <w:tc>
          <w:tcPr>
            <w:tcW w:w="347" w:type="pc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305" w:type="pct"/>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top"/>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中国石油天然气股份有限公司四川资阳销售分公司石佛加油站</w:t>
            </w:r>
          </w:p>
        </w:tc>
        <w:tc>
          <w:tcPr>
            <w:tcW w:w="8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加油（气）站</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乐至县石佛镇玉头沟村8组</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三级</w:t>
            </w:r>
          </w:p>
        </w:tc>
        <w:tc>
          <w:tcPr>
            <w:tcW w:w="8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在产(经营)</w:t>
            </w:r>
          </w:p>
        </w:tc>
        <w:tc>
          <w:tcPr>
            <w:tcW w:w="347" w:type="pct"/>
            <w:tcBorders>
              <w:top w:val="single" w:color="000000" w:sz="4" w:space="0"/>
              <w:left w:val="single" w:color="000000" w:sz="4" w:space="0"/>
              <w:bottom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305" w:type="pct"/>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top"/>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中国石油天然气股份有限公司四川资阳销售分公司乐至宝林加油站</w:t>
            </w:r>
          </w:p>
        </w:tc>
        <w:tc>
          <w:tcPr>
            <w:tcW w:w="8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加油（气）站</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乐至县宝林镇永和4村1社</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三级</w:t>
            </w:r>
          </w:p>
        </w:tc>
        <w:tc>
          <w:tcPr>
            <w:tcW w:w="8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在产(经营)</w:t>
            </w:r>
          </w:p>
        </w:tc>
        <w:tc>
          <w:tcPr>
            <w:tcW w:w="347" w:type="pct"/>
            <w:tcBorders>
              <w:top w:val="single" w:color="000000" w:sz="4" w:space="0"/>
              <w:left w:val="single" w:color="000000" w:sz="4" w:space="0"/>
              <w:bottom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305" w:type="pct"/>
            <w:tcBorders>
              <w:top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top"/>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w:t>
            </w:r>
          </w:p>
        </w:tc>
        <w:tc>
          <w:tcPr>
            <w:tcW w:w="1261"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乐至县帅乡烟花爆竹有限责任公司</w:t>
            </w:r>
          </w:p>
        </w:tc>
        <w:tc>
          <w:tcPr>
            <w:tcW w:w="826"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烟花爆竹经营（批发+仓库）</w:t>
            </w:r>
          </w:p>
        </w:tc>
        <w:tc>
          <w:tcPr>
            <w:tcW w:w="684"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乐至县劳动镇七门村四社</w:t>
            </w:r>
          </w:p>
        </w:tc>
        <w:tc>
          <w:tcPr>
            <w:tcW w:w="684"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三级</w:t>
            </w:r>
          </w:p>
        </w:tc>
        <w:tc>
          <w:tcPr>
            <w:tcW w:w="891"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在产(经营)</w:t>
            </w:r>
          </w:p>
        </w:tc>
        <w:tc>
          <w:tcPr>
            <w:tcW w:w="347" w:type="pct"/>
            <w:tcBorders>
              <w:top w:val="single" w:color="000000" w:sz="4" w:space="0"/>
              <w:lef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r>
    </w:tbl>
    <w:p>
      <w:pPr>
        <w:ind w:left="0" w:leftChars="0" w:firstLine="0" w:firstLineChars="0"/>
        <w:rPr>
          <w:rFonts w:hint="default"/>
          <w:lang w:val="en-US" w:eastAsia="zh-CN"/>
        </w:rPr>
      </w:pPr>
      <w:r>
        <w:rPr>
          <w:rFonts w:hint="default"/>
          <w:lang w:val="en-US" w:eastAsia="zh-CN"/>
        </w:rPr>
        <w:br w:type="page"/>
      </w:r>
    </w:p>
    <w:p>
      <w:pPr>
        <w:numPr>
          <w:ilvl w:val="0"/>
          <w:numId w:val="0"/>
        </w:numPr>
        <w:ind w:leftChars="0"/>
        <w:rPr>
          <w:rFonts w:hint="eastAsia"/>
          <w:lang w:val="en-US" w:eastAsia="zh-CN"/>
        </w:rPr>
      </w:pPr>
      <w:r>
        <w:rPr>
          <w:rFonts w:hint="eastAsia"/>
          <w:lang w:val="en-US" w:eastAsia="zh-CN"/>
        </w:rPr>
        <w:t>2.片区近年来典型生产和自然灾害事故统计表</w:t>
      </w:r>
    </w:p>
    <w:tbl>
      <w:tblPr>
        <w:tblStyle w:val="12"/>
        <w:tblW w:w="9975" w:type="dxa"/>
        <w:tblInd w:w="9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9"/>
        <w:gridCol w:w="1575"/>
        <w:gridCol w:w="1401"/>
        <w:gridCol w:w="1419"/>
        <w:gridCol w:w="1500"/>
        <w:gridCol w:w="1395"/>
        <w:gridCol w:w="21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9975" w:type="dxa"/>
            <w:gridSpan w:val="7"/>
            <w:tcBorders>
              <w:bottom w:val="nil"/>
            </w:tcBorders>
            <w:shd w:val="clear" w:color="auto" w:fill="auto"/>
            <w:vAlign w:val="top"/>
          </w:tcPr>
          <w:p>
            <w:pPr>
              <w:keepNext w:val="0"/>
              <w:keepLines w:val="0"/>
              <w:widowControl/>
              <w:suppressLineNumbers w:val="0"/>
              <w:jc w:val="center"/>
              <w:textAlignment w:val="top"/>
              <w:rPr>
                <w:rFonts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近年来典型安全生产和自然灾害事故统计表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57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8"/>
                <w:szCs w:val="28"/>
                <w:u w:val="none"/>
              </w:rPr>
            </w:pPr>
            <w:r>
              <w:rPr>
                <w:rStyle w:val="21"/>
                <w:sz w:val="28"/>
                <w:szCs w:val="28"/>
                <w:lang w:val="en-US" w:eastAsia="zh-CN" w:bidi="ar"/>
              </w:rPr>
              <w:t>序号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镇（街道）</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行业类别</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8"/>
                <w:szCs w:val="28"/>
                <w:u w:val="none"/>
              </w:rPr>
            </w:pPr>
            <w:r>
              <w:rPr>
                <w:rStyle w:val="21"/>
                <w:sz w:val="28"/>
                <w:szCs w:val="28"/>
                <w:lang w:val="en-US" w:eastAsia="zh-CN" w:bidi="ar"/>
              </w:rPr>
              <w:t>事故起数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8"/>
                <w:szCs w:val="28"/>
                <w:u w:val="none"/>
              </w:rPr>
            </w:pPr>
            <w:r>
              <w:rPr>
                <w:rStyle w:val="21"/>
                <w:sz w:val="28"/>
                <w:szCs w:val="28"/>
                <w:lang w:val="en-US" w:eastAsia="zh-CN" w:bidi="ar"/>
              </w:rPr>
              <w:t>伤亡情况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8"/>
                <w:szCs w:val="28"/>
                <w:u w:val="none"/>
              </w:rPr>
            </w:pPr>
            <w:r>
              <w:rPr>
                <w:rStyle w:val="21"/>
                <w:sz w:val="28"/>
                <w:szCs w:val="28"/>
                <w:lang w:val="en-US" w:eastAsia="zh-CN" w:bidi="ar"/>
              </w:rPr>
              <w:t>发生年份</w:t>
            </w:r>
          </w:p>
        </w:tc>
        <w:tc>
          <w:tcPr>
            <w:tcW w:w="2106"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79"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宝林镇</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建筑施工</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2019</w:t>
            </w:r>
          </w:p>
        </w:tc>
        <w:tc>
          <w:tcPr>
            <w:tcW w:w="2106"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毗河工程施工事故死亡一人，宝林邮政建筑施工事故死亡一人</w:t>
            </w:r>
          </w:p>
        </w:tc>
      </w:tr>
    </w:tbl>
    <w:p>
      <w:pPr>
        <w:rPr>
          <w:rFonts w:hint="default"/>
          <w:lang w:val="en-US" w:eastAsia="zh-CN"/>
        </w:rPr>
      </w:pPr>
      <w:r>
        <w:rPr>
          <w:rFonts w:hint="default"/>
          <w:lang w:val="en-US" w:eastAsia="zh-CN"/>
        </w:rPr>
        <w:br w:type="page"/>
      </w:r>
    </w:p>
    <w:p>
      <w:pPr>
        <w:ind w:left="0" w:leftChars="0" w:firstLine="0" w:firstLineChars="0"/>
        <w:rPr>
          <w:rFonts w:hint="default"/>
          <w:lang w:val="en-US" w:eastAsia="zh-CN"/>
        </w:rPr>
      </w:pPr>
      <w:r>
        <w:rPr>
          <w:rFonts w:hint="eastAsia"/>
          <w:lang w:val="en-US" w:eastAsia="zh-CN"/>
        </w:rPr>
        <w:t>3.片区应急队伍统计及分布表</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52"/>
        <w:gridCol w:w="840"/>
        <w:gridCol w:w="3585"/>
        <w:gridCol w:w="735"/>
        <w:gridCol w:w="3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0" w:hRule="atLeast"/>
        </w:trPr>
        <w:tc>
          <w:tcPr>
            <w:tcW w:w="304" w:type="pct"/>
            <w:shd w:val="clear" w:color="auto" w:fill="auto"/>
            <w:vAlign w:val="center"/>
          </w:tcPr>
          <w:p>
            <w:pPr>
              <w:keepNext w:val="0"/>
              <w:keepLines w:val="0"/>
              <w:widowControl/>
              <w:suppressLineNumbers w:val="0"/>
              <w:ind w:left="0" w:leftChars="0" w:firstLine="0" w:firstLineChars="0"/>
              <w:jc w:val="center"/>
              <w:textAlignment w:val="center"/>
              <w:rPr>
                <w:rFonts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序号</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类型</w:t>
            </w:r>
          </w:p>
        </w:tc>
        <w:tc>
          <w:tcPr>
            <w:tcW w:w="1978"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队伍名称</w:t>
            </w:r>
          </w:p>
        </w:tc>
        <w:tc>
          <w:tcPr>
            <w:tcW w:w="405"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队伍人数</w:t>
            </w:r>
          </w:p>
        </w:tc>
        <w:tc>
          <w:tcPr>
            <w:tcW w:w="1848"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救援类型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镇级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宝林镇应急救援队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31</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宝林镇白云村应急救援分队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宝林镇宝林社区应急救援分队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12</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宝林镇华严村应急救援分队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宝林镇独柏村应急救援分队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宝林镇卦田沟村应急救援分队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宝林镇胡桥村应急救援分队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12</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8</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宝林镇太平寺村应急救援分队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9</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宝林镇龙形村应急救援分队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宝林镇木遂垭村应急救援分队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宝林镇千佛村应急救援分队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12</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宝林镇三沟村应急救援分队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13</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宝林镇双碑村应急救援分队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14</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宝林镇周王沟村应急救援分队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宝林镇天台村应急救援分队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16</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宝林镇万斤沟村应急救援分队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17</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宝林镇鄢家凼社区应急救援分队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16</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18</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宝林镇新建社区应急救援分队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19</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宝林镇杨家祠村应急救援分队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13</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镇级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蟠龙镇应急救援队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36</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21</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蟠龙镇晏家沟村应急救援分队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22</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蟠龙镇大明寺村应急救援分队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23</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蟠龙镇石匣寺村应急救援分队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24</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蟠龙镇黑堰塘村应急救援分队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25</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蟠龙镇秦蔡沟村应急救援分队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26</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蟠龙镇香房村应急救援分队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27</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蟠龙镇庙宇庵村应急救援分队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28</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蟠龙镇蟠龙社区应急救援分队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12</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29</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镇级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龙门镇应急救援队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30</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龙门社区应急分队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31</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白龙村应急分队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32</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报国村应急分队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33</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金鼓村应急分队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34</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金马村应急分队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35</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农科村应急分队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36</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三道拐村应急分队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37</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三星社区应急分队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38</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圣灯村应急分队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14</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39</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棕树村应急分队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12</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40</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方正仿宋_GBK" w:hAnsi="方正仿宋_GBK" w:eastAsia="方正仿宋_GBK" w:cs="方正仿宋_GBK"/>
                <w:i w:val="0"/>
                <w:iCs w:val="0"/>
                <w:color w:val="000000"/>
                <w:kern w:val="0"/>
                <w:sz w:val="24"/>
                <w:szCs w:val="24"/>
                <w:u w:val="none"/>
                <w:lang w:val="en-US" w:eastAsia="zh-CN" w:bidi="ar"/>
              </w:rPr>
              <w:t>镇级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劳动镇应急救援队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41</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default"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劳动社区应急救援分队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42</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default"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回龙社区应急救援分队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43</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default"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福乐社区应急救援分队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44</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default"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庙山村应急救援分队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45</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default"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旧居村应急救援分队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46</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default"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七门村应急救援分队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47</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default"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潮水村应急救援分队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48</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default"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双龙村应急救援分队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49</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default"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百花村应急救援分队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50</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default"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双祠堂村应急救援分队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51</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default"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老观音村应急救援分队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52</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default"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回龙俺村应急救援分队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53</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default"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远朝门村应急救援分队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54</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default"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敖家寨村应急救援分队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55</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default"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天宫村应急救援分队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56</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default"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崇古村应急救援分队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57</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镇级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石佛镇应急救援队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58</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石佛社区应急救援分队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59</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廖家沟社区应急救援分队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60</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保安社区应急救援分队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61</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太来社区应急救援分队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13</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62</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瓦屋村应急救援分队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12</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63</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唐家店村应急救援分队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64</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高屋基村应急救援分队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65</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柳木村应急救援分队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66</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宝石村应急救援分队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67</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金山寺应急救援分队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13</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68</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磨盘村应急救援分队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13</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69</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玉桥村应急救援分队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70</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板板桥村应急救援分队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71</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古堰口村应急救援分队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72</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桂花园村应急救援分队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9</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73</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天神庙村应急救援分队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13</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74</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龙家沟村应急救援分队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75</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庆云庵应急救援分队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76</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放生村应急救援分队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4"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77</w:t>
            </w:r>
          </w:p>
        </w:tc>
        <w:tc>
          <w:tcPr>
            <w:tcW w:w="463" w:type="pct"/>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村级</w:t>
            </w:r>
          </w:p>
        </w:tc>
        <w:tc>
          <w:tcPr>
            <w:tcW w:w="1978" w:type="pct"/>
            <w:shd w:val="clear" w:color="auto" w:fill="auto"/>
            <w:noWrap/>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荣家沟村应急救援分队</w:t>
            </w:r>
          </w:p>
        </w:tc>
        <w:tc>
          <w:tcPr>
            <w:tcW w:w="405" w:type="pct"/>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48" w:type="pct"/>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乡镇(村庄、社区)应急救援</w:t>
            </w:r>
          </w:p>
        </w:tc>
      </w:tr>
    </w:tbl>
    <w:p>
      <w:pPr>
        <w:keepNext w:val="0"/>
        <w:keepLines w:val="0"/>
        <w:widowControl/>
        <w:suppressLineNumbers w:val="0"/>
        <w:ind w:left="0" w:leftChars="0" w:firstLine="0" w:firstLineChars="0"/>
        <w:jc w:val="both"/>
        <w:textAlignment w:val="center"/>
        <w:rPr>
          <w:rFonts w:hint="default"/>
          <w:lang w:val="en-US" w:eastAsia="zh-CN"/>
        </w:rPr>
      </w:pPr>
      <w:r>
        <w:rPr>
          <w:rFonts w:hint="default" w:ascii="方正仿宋_GBK" w:hAnsi="方正仿宋_GBK" w:eastAsia="方正仿宋_GBK" w:cs="方正仿宋_GBK"/>
          <w:i w:val="0"/>
          <w:iCs w:val="0"/>
          <w:color w:val="000000"/>
          <w:kern w:val="0"/>
          <w:sz w:val="24"/>
          <w:szCs w:val="24"/>
          <w:u w:val="none"/>
          <w:lang w:val="en-US" w:eastAsia="zh-CN" w:bidi="ar"/>
        </w:rPr>
        <w:br w:type="page"/>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lang w:val="en-US" w:eastAsia="zh-CN"/>
        </w:rPr>
      </w:pPr>
      <w:r>
        <w:rPr>
          <w:rFonts w:hint="eastAsia"/>
          <w:lang w:val="en-US" w:eastAsia="zh-CN"/>
        </w:rPr>
        <w:t>4.片区应急救援装备、物资统计及分布表</w:t>
      </w:r>
    </w:p>
    <w:tbl>
      <w:tblPr>
        <w:tblStyle w:val="1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50"/>
        <w:gridCol w:w="2394"/>
        <w:gridCol w:w="1301"/>
        <w:gridCol w:w="1028"/>
        <w:gridCol w:w="1194"/>
        <w:gridCol w:w="1359"/>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b/>
                <w:bCs/>
                <w:i w:val="0"/>
                <w:iCs w:val="0"/>
                <w:color w:val="000000"/>
                <w:kern w:val="0"/>
                <w:sz w:val="22"/>
                <w:szCs w:val="22"/>
                <w:u w:val="none"/>
                <w:lang w:val="en-US" w:eastAsia="zh-CN" w:bidi="ar"/>
              </w:rPr>
            </w:pPr>
            <w:r>
              <w:rPr>
                <w:rFonts w:hint="eastAsia" w:ascii="方正仿宋_GBK" w:hAnsi="方正仿宋_GBK" w:eastAsia="方正仿宋_GBK" w:cs="方正仿宋_GBK"/>
                <w:b/>
                <w:bCs/>
                <w:i w:val="0"/>
                <w:iCs w:val="0"/>
                <w:color w:val="000000"/>
                <w:kern w:val="0"/>
                <w:sz w:val="22"/>
                <w:szCs w:val="22"/>
                <w:u w:val="none"/>
                <w:lang w:val="en-US" w:eastAsia="zh-CN" w:bidi="ar"/>
              </w:rPr>
              <w:t>序号</w:t>
            </w:r>
          </w:p>
        </w:tc>
        <w:tc>
          <w:tcPr>
            <w:tcW w:w="132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b/>
                <w:bCs/>
                <w:i w:val="0"/>
                <w:iCs w:val="0"/>
                <w:color w:val="000000"/>
                <w:kern w:val="0"/>
                <w:sz w:val="22"/>
                <w:szCs w:val="22"/>
                <w:u w:val="none"/>
                <w:lang w:val="en-US" w:eastAsia="zh-CN" w:bidi="ar"/>
              </w:rPr>
            </w:pPr>
            <w:r>
              <w:rPr>
                <w:rFonts w:hint="eastAsia" w:ascii="方正仿宋_GBK" w:hAnsi="方正仿宋_GBK" w:eastAsia="方正仿宋_GBK" w:cs="方正仿宋_GBK"/>
                <w:b/>
                <w:bCs/>
                <w:i w:val="0"/>
                <w:iCs w:val="0"/>
                <w:color w:val="000000"/>
                <w:kern w:val="0"/>
                <w:sz w:val="22"/>
                <w:szCs w:val="22"/>
                <w:u w:val="none"/>
                <w:lang w:val="en-US" w:eastAsia="zh-CN" w:bidi="ar"/>
              </w:rPr>
              <w:t>名称</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b/>
                <w:bCs/>
                <w:i w:val="0"/>
                <w:iCs w:val="0"/>
                <w:color w:val="000000"/>
                <w:kern w:val="0"/>
                <w:sz w:val="22"/>
                <w:szCs w:val="22"/>
                <w:u w:val="none"/>
                <w:lang w:val="en-US" w:eastAsia="zh-CN" w:bidi="ar"/>
              </w:rPr>
            </w:pPr>
            <w:r>
              <w:rPr>
                <w:rFonts w:hint="eastAsia" w:ascii="方正仿宋_GBK" w:hAnsi="方正仿宋_GBK" w:eastAsia="方正仿宋_GBK" w:cs="方正仿宋_GBK"/>
                <w:b/>
                <w:bCs/>
                <w:i w:val="0"/>
                <w:iCs w:val="0"/>
                <w:color w:val="000000"/>
                <w:kern w:val="0"/>
                <w:sz w:val="22"/>
                <w:szCs w:val="22"/>
                <w:u w:val="none"/>
                <w:lang w:val="en-US" w:eastAsia="zh-CN" w:bidi="ar"/>
              </w:rPr>
              <w:t>规格型号</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b/>
                <w:bCs/>
                <w:i w:val="0"/>
                <w:iCs w:val="0"/>
                <w:color w:val="000000"/>
                <w:kern w:val="0"/>
                <w:sz w:val="22"/>
                <w:szCs w:val="22"/>
                <w:u w:val="none"/>
                <w:lang w:val="en-US" w:eastAsia="zh-CN" w:bidi="ar"/>
              </w:rPr>
            </w:pPr>
            <w:r>
              <w:rPr>
                <w:rFonts w:hint="eastAsia" w:ascii="方正仿宋_GBK" w:hAnsi="方正仿宋_GBK" w:eastAsia="方正仿宋_GBK" w:cs="方正仿宋_GBK"/>
                <w:b/>
                <w:bCs/>
                <w:i w:val="0"/>
                <w:iCs w:val="0"/>
                <w:color w:val="000000"/>
                <w:kern w:val="0"/>
                <w:sz w:val="22"/>
                <w:szCs w:val="22"/>
                <w:u w:val="none"/>
                <w:lang w:val="en-US" w:eastAsia="zh-CN" w:bidi="ar"/>
              </w:rPr>
              <w:t>单位</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b/>
                <w:bCs/>
                <w:i w:val="0"/>
                <w:iCs w:val="0"/>
                <w:color w:val="000000"/>
                <w:kern w:val="0"/>
                <w:sz w:val="22"/>
                <w:szCs w:val="22"/>
                <w:u w:val="none"/>
                <w:lang w:val="en-US" w:eastAsia="zh-CN" w:bidi="ar"/>
              </w:rPr>
            </w:pPr>
            <w:r>
              <w:rPr>
                <w:rFonts w:hint="eastAsia" w:ascii="方正仿宋_GBK" w:hAnsi="方正仿宋_GBK" w:eastAsia="方正仿宋_GBK" w:cs="方正仿宋_GBK"/>
                <w:b/>
                <w:bCs/>
                <w:i w:val="0"/>
                <w:iCs w:val="0"/>
                <w:color w:val="000000"/>
                <w:kern w:val="0"/>
                <w:sz w:val="22"/>
                <w:szCs w:val="22"/>
                <w:u w:val="none"/>
                <w:lang w:val="en-US" w:eastAsia="zh-CN" w:bidi="ar"/>
              </w:rPr>
              <w:t>数量</w:t>
            </w:r>
          </w:p>
        </w:tc>
        <w:tc>
          <w:tcPr>
            <w:tcW w:w="75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b/>
                <w:bCs/>
                <w:i w:val="0"/>
                <w:iCs w:val="0"/>
                <w:color w:val="000000"/>
                <w:kern w:val="0"/>
                <w:sz w:val="22"/>
                <w:szCs w:val="22"/>
                <w:u w:val="none"/>
                <w:lang w:val="en-US" w:eastAsia="zh-CN" w:bidi="ar"/>
              </w:rPr>
            </w:pPr>
            <w:r>
              <w:rPr>
                <w:rFonts w:hint="eastAsia" w:ascii="方正仿宋_GBK" w:hAnsi="方正仿宋_GBK" w:eastAsia="方正仿宋_GBK" w:cs="方正仿宋_GBK"/>
                <w:b/>
                <w:bCs/>
                <w:i w:val="0"/>
                <w:iCs w:val="0"/>
                <w:color w:val="000000"/>
                <w:kern w:val="0"/>
                <w:sz w:val="22"/>
                <w:szCs w:val="22"/>
                <w:u w:val="none"/>
                <w:lang w:val="en-US" w:eastAsia="zh-CN" w:bidi="ar"/>
              </w:rPr>
              <w:t>储存地点</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b/>
                <w:bCs/>
                <w:i w:val="0"/>
                <w:iCs w:val="0"/>
                <w:color w:val="000000"/>
                <w:kern w:val="0"/>
                <w:sz w:val="22"/>
                <w:szCs w:val="22"/>
                <w:u w:val="none"/>
                <w:lang w:val="en-US" w:eastAsia="zh-CN" w:bidi="ar"/>
              </w:rPr>
            </w:pPr>
            <w:r>
              <w:rPr>
                <w:rFonts w:hint="eastAsia" w:ascii="方正仿宋_GBK" w:hAnsi="方正仿宋_GBK" w:eastAsia="方正仿宋_GBK" w:cs="方正仿宋_GBK"/>
                <w:b/>
                <w:bCs/>
                <w:i w:val="0"/>
                <w:iCs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雨衣</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40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手持照明灯</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双肩包</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40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睡袋</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40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防潮垫</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40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头盔</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40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捆绑绳（30米）</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5</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救生背心</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40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救生圈</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4</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大军锹</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4</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大军镐</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森林灭火防护服</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40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二号扑火工具</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40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消防锹</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消防斧</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防洪编织袋</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3000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喊话器</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油锯</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单兵背负式水枪</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防风面罩</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防蜂服</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锣</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冬装</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50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夏装</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25</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被子</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37</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棉大衣</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50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27</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帐篷</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6</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担架</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宝林镇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床上三件套</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50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短袖T恤</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40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31</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劳动文化衫</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夏短裤</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40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音响设备</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34</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床单</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14</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棉大衣</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171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棉被</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131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棉衣</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12</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棉裤</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39</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棉衣裤</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16</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棉衣</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41</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枕芯</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42</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帐篷</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43</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枕套</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44</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救生衣</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24</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45</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编织袋</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300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46</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防潮垫</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47</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睡袋</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48</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手电筒</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49</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探照灯</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扩音器</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6</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51</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手提应急灯</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52</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救援担架</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53</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雨鞋</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18</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54</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雨衣</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33</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55</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绳索</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200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56</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鼓</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57</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铜锣</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58</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安全帽</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59</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安全带</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镰刀</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9</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61</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铁丝</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62</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扫把</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9</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63</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镐</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64</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警戒绳</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65</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对讲机</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66</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迷彩服（老式）</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67</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救生圈</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68</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铁锹</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16</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69</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红袖套</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16</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70</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麻袋</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50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71</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抛投器</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72</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凉被</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73</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冲锋衣</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74</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救援绳</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75</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折叠床</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76</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抽水泵</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77</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消防头盔</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78</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消防防护服</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79</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消防手套</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80</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消防防护鞋</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81</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消防腰带</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82</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消防护目镜</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83</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风力灭火机</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84</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灭火机维修包</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85</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简易水泵</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86</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消防水带</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87</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油锯</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88</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组合工具</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5</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89</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无人机</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90</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14</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91</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货架</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7</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92</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护林员马甲</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7</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93</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床上三件套</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50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94</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短袖T恤</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40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95</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蟠龙文化衫</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96</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夏短裤</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40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97</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音响设备</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98</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床单</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14</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99</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棉大衣</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171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棉被</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131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101</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棉衣</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12</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102</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棉裤</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39</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103</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棉衣裤</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16</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104</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棉衣</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105</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枕芯</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106</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帐篷</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107</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枕套</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108</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救生衣</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24</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109</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编织袋</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300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110</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防潮垫</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111</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睡袋</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112</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手电筒</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113</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探照灯</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114</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扩音器</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6</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115</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手提应急灯</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116</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救援担架</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117</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雨鞋</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18</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118</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雨衣</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33</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119</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绳索</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200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鼓</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121</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铜锣</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122</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安全帽</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123</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安全带</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124</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镰刀</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9</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125</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铁丝</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126</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扫把</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9</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127</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镐</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128</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警戒绳</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129</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对讲机</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130</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迷彩服（老式）</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131</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救生圈</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132</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铁锹</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16</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133</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红袖套</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16</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134</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麻袋</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50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135</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抛投器</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136</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凉被</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137</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冲锋衣</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138</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救援绳</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139</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折叠床</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140</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抽水泵</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141</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消防头盔</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142</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消防防护服</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143</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消防手套</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144</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消防防护鞋</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145</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消防腰带</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146</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消防护目镜</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147</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风力灭火机</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148</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灭火机维修包</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149</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简易水泵</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消防水带</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151</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油锯</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152</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组合工具</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5</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153</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无人机</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154</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14</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155</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货架</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7</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156</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护林员马甲</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7</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蟠龙镇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157</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双肩包</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40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158</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睡袋</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40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159</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防潮垫</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40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160</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毛巾</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40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161</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迷彩服</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162</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迷彩帽</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163</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外腰带</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7</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164</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内腰带</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165</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棉被</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60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166</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棉衣</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260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167</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背囊</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16</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168</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体能训练服</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169</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森林灭火防护服</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40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170</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灭火扫把</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50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171</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消防锹</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172</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消防斧</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173</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油锯</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174</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单兵背负式水枪</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7</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175</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割灌木机</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176</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手提式干粉灭火器</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177</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手投式灭火器</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178</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往复式灭火水枪</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12</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179</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长柄砍刀（铁柄）</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13</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180</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长柄砍刀（木柄）</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5</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181</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短柄砍刀</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4</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182</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短柄斧</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4</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183</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抽水管（编织）</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13</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184</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抽水管（胶）</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185</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风力灭火机</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186</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潜水电泵</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187</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雨衣</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59</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188</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救生背心</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160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189</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救生圈</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4</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190</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防洪编织袋</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3000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191</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防汛专用沙袋</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90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192</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抽水泵</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5</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193</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雨鞋</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17</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194</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救生绳</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195</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头盔</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40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196</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短警棍</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24</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197</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齐眉警棍</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6</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198</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盾牌</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24</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199</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防暴钢叉</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6</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200</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防刺服</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8</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201</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警绳</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5</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202</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枪发抓捕网</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203</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手持照明灯</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204</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大军锹</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9</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205</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大军镐</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14</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206</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头戴式照明灯</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207</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喊话器</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208</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手板锯</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4</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209</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油桶</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6</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210</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过滤式呼吸器</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211</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小铁锹</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212</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工具箱</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6</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213</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电锤</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5</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214</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电线</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215</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喷雾器</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216</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救援绳</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4</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217</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麻绳</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218</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凉被</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219</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冲锋衣</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220</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扩音器</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221</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手提应急灯</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222</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救援绳</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223</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折叠床</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224</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救援担架</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石佛镇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225</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手提应急灯</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个</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5</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龙门镇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226</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救生衣</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13</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龙门镇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227</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救生圈</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个</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龙门镇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228</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吸水膨胀防洪袋</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个</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200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龙门镇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229</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防洪编织袋</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个</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4000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龙门镇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230</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扩音器</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个</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26</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龙门镇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231</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冲锋衣</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套</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30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龙门镇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232</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棉被</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床</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135</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龙门镇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233</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棉衣</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件</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181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龙门镇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234</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凉被</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床</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龙门镇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235</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救援绳</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根</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龙门镇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236</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折叠床</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床</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10</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龙门镇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237</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救援担架</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个</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1</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龙门镇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1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238</w:t>
            </w:r>
          </w:p>
        </w:tc>
        <w:tc>
          <w:tcPr>
            <w:tcW w:w="132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帐篷</w:t>
            </w:r>
          </w:p>
        </w:tc>
        <w:tc>
          <w:tcPr>
            <w:tcW w:w="71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56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个</w:t>
            </w:r>
          </w:p>
        </w:tc>
        <w:tc>
          <w:tcPr>
            <w:tcW w:w="659" w:type="pct"/>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2</w:t>
            </w:r>
          </w:p>
        </w:tc>
        <w:tc>
          <w:tcPr>
            <w:tcW w:w="75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龙门镇</w:t>
            </w:r>
          </w:p>
        </w:tc>
        <w:tc>
          <w:tcPr>
            <w:tcW w:w="5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r>
    </w:tbl>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p>
    <w:p>
      <w:pP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br w:type="page"/>
      </w:r>
    </w:p>
    <w:p>
      <w:pPr>
        <w:pStyle w:val="6"/>
        <w:numPr>
          <w:ilvl w:val="0"/>
          <w:numId w:val="0"/>
        </w:numPr>
        <w:ind w:leftChars="0"/>
        <w:rPr>
          <w:rFonts w:hint="eastAsia"/>
          <w:lang w:val="en-US" w:eastAsia="zh-CN"/>
        </w:rPr>
        <w:sectPr>
          <w:footerReference r:id="rId6" w:type="default"/>
          <w:pgSz w:w="11906" w:h="16838"/>
          <w:pgMar w:top="2098" w:right="1474" w:bottom="1984" w:left="1587" w:header="851" w:footer="1134" w:gutter="0"/>
          <w:pgNumType w:start="1"/>
          <w:cols w:space="0" w:num="1"/>
          <w:rtlGutter w:val="0"/>
          <w:docGrid w:type="lines" w:linePitch="439" w:charSpace="0"/>
        </w:sectPr>
      </w:pPr>
    </w:p>
    <w:p>
      <w:pPr>
        <w:pStyle w:val="6"/>
        <w:numPr>
          <w:ilvl w:val="0"/>
          <w:numId w:val="0"/>
        </w:numPr>
        <w:ind w:leftChars="0"/>
        <w:rPr>
          <w:rFonts w:hint="eastAsia"/>
          <w:lang w:val="en-US" w:eastAsia="zh-CN"/>
        </w:rPr>
      </w:pPr>
      <w:r>
        <w:rPr>
          <w:rFonts w:hint="eastAsia"/>
          <w:lang w:val="en-US" w:eastAsia="zh-CN"/>
        </w:rPr>
        <w:t>5.片区应急管理用地现状和规划用地指标</w:t>
      </w:r>
    </w:p>
    <w:tbl>
      <w:tblPr>
        <w:tblStyle w:val="12"/>
        <w:tblW w:w="1239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76"/>
        <w:gridCol w:w="1322"/>
        <w:gridCol w:w="3320"/>
        <w:gridCol w:w="3720"/>
        <w:gridCol w:w="1065"/>
        <w:gridCol w:w="1035"/>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55" w:hRule="atLeast"/>
        </w:trPr>
        <w:tc>
          <w:tcPr>
            <w:tcW w:w="976" w:type="dxa"/>
            <w:shd w:val="clear" w:color="auto" w:fill="auto"/>
            <w:noWrap/>
            <w:vAlign w:val="center"/>
          </w:tcPr>
          <w:p>
            <w:pPr>
              <w:keepNext w:val="0"/>
              <w:keepLines w:val="0"/>
              <w:widowControl/>
              <w:suppressLineNumbers w:val="0"/>
              <w:ind w:left="0" w:leftChars="0" w:firstLine="0" w:firstLineChars="0"/>
              <w:jc w:val="center"/>
              <w:textAlignment w:val="center"/>
              <w:rPr>
                <w:rFonts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1322"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项目名称</w:t>
            </w:r>
          </w:p>
        </w:tc>
        <w:tc>
          <w:tcPr>
            <w:tcW w:w="3320"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具体位置</w:t>
            </w:r>
          </w:p>
        </w:tc>
        <w:tc>
          <w:tcPr>
            <w:tcW w:w="3720"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用途</w:t>
            </w:r>
          </w:p>
        </w:tc>
        <w:tc>
          <w:tcPr>
            <w:tcW w:w="106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用地类型（利旧/共建/新建）</w:t>
            </w:r>
          </w:p>
        </w:tc>
        <w:tc>
          <w:tcPr>
            <w:tcW w:w="103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用地规模（㎡）</w:t>
            </w:r>
          </w:p>
        </w:tc>
        <w:tc>
          <w:tcPr>
            <w:tcW w:w="960"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10" w:hRule="atLeast"/>
        </w:trPr>
        <w:tc>
          <w:tcPr>
            <w:tcW w:w="97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322" w:type="dxa"/>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防汛抗旱水利提升工程</w:t>
            </w:r>
          </w:p>
        </w:tc>
        <w:tc>
          <w:tcPr>
            <w:tcW w:w="3320" w:type="dxa"/>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劳动镇、石佛镇、蟠龙镇、宝林镇、龙门镇</w:t>
            </w:r>
          </w:p>
        </w:tc>
        <w:tc>
          <w:tcPr>
            <w:tcW w:w="3720" w:type="dxa"/>
            <w:shd w:val="clear" w:color="auto" w:fill="auto"/>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加强病险水库除险加固和山洪灾害防治，消除水库安全隐患，提高片区防洪抗洪能力</w:t>
            </w:r>
          </w:p>
        </w:tc>
        <w:tc>
          <w:tcPr>
            <w:tcW w:w="1065"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利旧</w:t>
            </w:r>
          </w:p>
        </w:tc>
        <w:tc>
          <w:tcPr>
            <w:tcW w:w="1035"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1200</w:t>
            </w:r>
          </w:p>
        </w:tc>
        <w:tc>
          <w:tcPr>
            <w:tcW w:w="960" w:type="dxa"/>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0" w:hRule="atLeast"/>
        </w:trPr>
        <w:tc>
          <w:tcPr>
            <w:tcW w:w="97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322" w:type="dxa"/>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应急队伍提升重点工程</w:t>
            </w:r>
          </w:p>
        </w:tc>
        <w:tc>
          <w:tcPr>
            <w:tcW w:w="3320" w:type="dxa"/>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劳动镇消防站、石佛镇消防站、龙门镇消防执勤点</w:t>
            </w:r>
          </w:p>
        </w:tc>
        <w:tc>
          <w:tcPr>
            <w:tcW w:w="3720" w:type="dxa"/>
            <w:shd w:val="clear" w:color="auto" w:fill="auto"/>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建立以劳动镇为主力，石佛镇为辅助，村级消防队为支点的应急救援力量体系，救援力量前置到位，实现15分钟半径，30分钟全境覆盖的应急能力调度圈</w:t>
            </w:r>
          </w:p>
        </w:tc>
        <w:tc>
          <w:tcPr>
            <w:tcW w:w="1065"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w:t>
            </w:r>
          </w:p>
        </w:tc>
        <w:tc>
          <w:tcPr>
            <w:tcW w:w="1035"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1200</w:t>
            </w:r>
          </w:p>
        </w:tc>
        <w:tc>
          <w:tcPr>
            <w:tcW w:w="960" w:type="dxa"/>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65" w:hRule="atLeast"/>
        </w:trPr>
        <w:tc>
          <w:tcPr>
            <w:tcW w:w="97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322" w:type="dxa"/>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应急物资储备库升级改造工程</w:t>
            </w:r>
          </w:p>
        </w:tc>
        <w:tc>
          <w:tcPr>
            <w:tcW w:w="3320" w:type="dxa"/>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劳动镇、宝林镇、石佛镇、蟠龙镇、龙门镇、旧居村、百花村、双龙村、回龙社区、周王沟村、万斤沟村、新建社区、三星社区、金鼓村、高屋基村、荣家沟村、放生村、保安社区、黑堰塘村、晏家沟村</w:t>
            </w:r>
          </w:p>
        </w:tc>
        <w:tc>
          <w:tcPr>
            <w:tcW w:w="3720" w:type="dxa"/>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打造“1+1+3+N”的应急物资储备体系，构建中心库全面覆盖、重点库区域覆盖、基本库定点覆盖的“半小时保障圈”，改造应急物资储备库仓储设施，增强物资储备能力。</w:t>
            </w:r>
          </w:p>
        </w:tc>
        <w:tc>
          <w:tcPr>
            <w:tcW w:w="1065"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w:t>
            </w:r>
          </w:p>
        </w:tc>
        <w:tc>
          <w:tcPr>
            <w:tcW w:w="1035"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1200</w:t>
            </w:r>
          </w:p>
        </w:tc>
        <w:tc>
          <w:tcPr>
            <w:tcW w:w="960" w:type="dxa"/>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97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322" w:type="dxa"/>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应急避难场所工程</w:t>
            </w:r>
          </w:p>
        </w:tc>
        <w:tc>
          <w:tcPr>
            <w:tcW w:w="3320" w:type="dxa"/>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劳动镇应急避难场所、石佛镇中心小学应急避难场所、宝林镇文化站应急避难场所、龙门镇应急避难场所、蟠龙镇社区文化站应急避难场所；片区内现有具备条件的公共场所。</w:t>
            </w:r>
          </w:p>
        </w:tc>
        <w:tc>
          <w:tcPr>
            <w:tcW w:w="3720" w:type="dxa"/>
            <w:shd w:val="clear" w:color="auto" w:fill="auto"/>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梳理片区内各避难场所面积，修缮现有应急避难场所，各主城区应急避难场所按照城市常住人口人均1平方米计算，确保总体面积达标。实现对应急避难场所功能区、应急物资和运行状态的动态管理</w:t>
            </w:r>
          </w:p>
        </w:tc>
        <w:tc>
          <w:tcPr>
            <w:tcW w:w="1065"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利旧</w:t>
            </w:r>
          </w:p>
        </w:tc>
        <w:tc>
          <w:tcPr>
            <w:tcW w:w="1035"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3000</w:t>
            </w:r>
          </w:p>
        </w:tc>
        <w:tc>
          <w:tcPr>
            <w:tcW w:w="960" w:type="dxa"/>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0" w:hRule="atLeast"/>
        </w:trPr>
        <w:tc>
          <w:tcPr>
            <w:tcW w:w="97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322" w:type="dxa"/>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四川省防灾减灾综合科普训练基地项目工程</w:t>
            </w:r>
          </w:p>
        </w:tc>
        <w:tc>
          <w:tcPr>
            <w:tcW w:w="332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劳动镇</w:t>
            </w:r>
          </w:p>
        </w:tc>
        <w:tc>
          <w:tcPr>
            <w:tcW w:w="3720" w:type="dxa"/>
            <w:shd w:val="clear" w:color="auto" w:fill="auto"/>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依托陈毅故居的旅游优势，建在劳动镇景区，打造防灾减灾科普宣传、专业队伍培训主阵地，专业的实训基地可承接全县应急队伍的日常训练和演练，强化应急实战能力；优越的地理位置方便大量居民和游客团体前来参观体验，示范引领周边片区甚至西南片区。</w:t>
            </w:r>
          </w:p>
        </w:tc>
        <w:tc>
          <w:tcPr>
            <w:tcW w:w="1065"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w:t>
            </w:r>
          </w:p>
        </w:tc>
        <w:tc>
          <w:tcPr>
            <w:tcW w:w="1035"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60000</w:t>
            </w:r>
          </w:p>
        </w:tc>
        <w:tc>
          <w:tcPr>
            <w:tcW w:w="960" w:type="dxa"/>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2035</w:t>
            </w:r>
          </w:p>
        </w:tc>
      </w:tr>
    </w:tbl>
    <w:p>
      <w:pPr>
        <w:numPr>
          <w:ilvl w:val="0"/>
          <w:numId w:val="0"/>
        </w:numPr>
        <w:ind w:leftChars="0"/>
        <w:rPr>
          <w:rFonts w:hint="eastAsia"/>
          <w:lang w:val="en-US" w:eastAsia="zh-CN"/>
        </w:rPr>
      </w:pPr>
    </w:p>
    <w:p>
      <w:pPr>
        <w:rPr>
          <w:rFonts w:hint="default"/>
          <w:lang w:val="en-US" w:eastAsia="zh-CN"/>
        </w:rPr>
        <w:sectPr>
          <w:pgSz w:w="16838" w:h="11906" w:orient="landscape"/>
          <w:pgMar w:top="1587" w:right="2098" w:bottom="1474" w:left="1984" w:header="851" w:footer="1134" w:gutter="0"/>
          <w:pgNumType w:start="1"/>
          <w:cols w:space="0" w:num="1"/>
          <w:rtlGutter w:val="0"/>
          <w:docGrid w:type="lines" w:linePitch="439" w:charSpace="0"/>
        </w:sectPr>
      </w:pPr>
      <w:r>
        <w:rPr>
          <w:rFonts w:hint="default"/>
          <w:lang w:val="en-US" w:eastAsia="zh-CN"/>
        </w:rPr>
        <w:br w:type="page"/>
      </w:r>
    </w:p>
    <w:p>
      <w:pPr>
        <w:pStyle w:val="4"/>
        <w:numPr>
          <w:ilvl w:val="0"/>
          <w:numId w:val="3"/>
        </w:numPr>
        <w:bidi w:val="0"/>
        <w:jc w:val="center"/>
        <w:rPr>
          <w:rFonts w:hint="eastAsia"/>
          <w:b w:val="0"/>
          <w:bCs w:val="0"/>
          <w:lang w:val="en-US" w:eastAsia="zh-CN"/>
        </w:rPr>
      </w:pPr>
      <w:r>
        <w:rPr>
          <w:rFonts w:hint="eastAsia"/>
          <w:b w:val="0"/>
          <w:bCs w:val="0"/>
          <w:lang w:val="en-US" w:eastAsia="zh-CN"/>
        </w:rPr>
        <w:t>重点工程项目统计表</w:t>
      </w:r>
    </w:p>
    <w:p>
      <w:pPr>
        <w:numPr>
          <w:ilvl w:val="0"/>
          <w:numId w:val="0"/>
        </w:numPr>
        <w:ind w:leftChars="0"/>
        <w:rPr>
          <w:rFonts w:hint="default"/>
          <w:lang w:val="en-US" w:eastAsia="zh-CN"/>
        </w:rPr>
      </w:pPr>
    </w:p>
    <w:tbl>
      <w:tblPr>
        <w:tblStyle w:val="12"/>
        <w:tblW w:w="145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08"/>
        <w:gridCol w:w="1230"/>
        <w:gridCol w:w="4170"/>
        <w:gridCol w:w="3660"/>
        <w:gridCol w:w="945"/>
        <w:gridCol w:w="765"/>
        <w:gridCol w:w="705"/>
        <w:gridCol w:w="705"/>
        <w:gridCol w:w="1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项目大类</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项目小类</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建设内容</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建设地点</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用地量（㎡）</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用地性质</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建设期限</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牵头单位</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投资估算（万元）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应急管理重点工程</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片区应急指挥分中心建设工程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依托劳动镇、石佛镇现有镇级消防站资源，建设镇级应急指挥分中心，配备融合通信系统、多媒体会议系统、应急管理系统、媒体录制系统、调度台、智能终端、视频接入网关、集群接入网关、电话接入网关等。</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劳动镇、石佛镇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无新占地</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县应急局</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安全生产风险防控重点工程</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安全生产风险监测预警系统工程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建设应急管理综合信息平台，包含开发电脑管理端和改造移动app端</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1家烟花爆竹企业、2家非煤矿山企业、2家加油站</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无新占地</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县应急局</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自然灾害防治重点工程</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防汛抗旱水利提升工程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继续完成劳动镇剩余1座均质土坝水库除险加固；对石佛镇蟠龙河水库防洪治理工程开展安全评价工作，并进行防渗、加高、加宽等加固措施；对蟠龙河蟠龙段、石佛段进行防洪综合治理；对宝林镇、龙门镇老旧灌排设施进行维修</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劳动镇、石佛镇、蟠龙镇、宝林镇、龙门镇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改建</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县水务局</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森林防灭火基础设施建设工程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在石佛镇新建一个覆盖方圆5公里的监测预警系统；在龙门镇白龙村、龙门镇报国寺村、劳动镇旧居村、蟠龙镇黑堰塘村新建4个卡口监控系统、4个防火检查站；新建/改建10处消防水池，新建林火视频监控系统2套</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白龙村、报国寺村、旧居村、黑堰塘村、重点森林防火区域</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无新占地</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县林业局</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应急能力建设工程</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应急队伍提升重点工程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扩建劳动镇小型消防站为二级消防站（15-25人专职队伍、2-4台消防车，并配备其他消防器材），石佛镇按照中心消防站标准（10-15人专职队伍、2台消防车，并配备其他消防器材）建设和管理；强化龙门专职消防点，配齐专职消防人员、装备。</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劳动镇消防站、石佛镇消防站、龙门镇消防执勤点</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县消防部门</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0" w:hRule="atLeast"/>
        </w:trPr>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应急物资储备库升级改造工程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动镇建立物资储备中心库，石佛镇建立物资储备重点库，宝林镇、蟠龙镇、龙门镇建立物资储备基本库，15个中心村建立物资储备保障点，对现有物资储备点进行升级改造，重点配齐视频监控、专用货架、防潮、防虫、防火等设施。</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劳动镇、宝林镇、石佛镇、蟠龙镇、龙门镇、旧居村、百花村、双龙村、回龙社区、周王沟村、万斤沟村、新建社区、三星社区、金鼓村、高屋基村、荣家沟村、放生村、保安社区、黑堰塘村、晏家沟村</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县应急局</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0" w:hRule="atLeast"/>
        </w:trPr>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应急避难场所工程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动镇、石佛镇依托原有的应急避难场所改建为Ⅱ级规范化避难场所，避难时间3天-30天（含30天），拥有救灾指挥、应急医疗救护、应急物资储备、应急棚宿区、应急厕所、应急供电供水消防和应急垃圾与污水处理等主要应急避险功能及配套设施；宝林镇、龙门镇、蟠龙镇依托原有的应急避难场所改建为Ⅲ级规范化避难场所，并具备相应的设备设施；将片区各镇、村（社区）现有文化站、学校、广场、医院等有条件的公共场所按照标准设置各类指示牌、功能分区指示牌，以及其他配套设施，改建为临时避难点</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劳动镇应急避难场所、石佛镇中心小学应急避难场所、宝林镇文化站应急避难场所、龙门镇应急避难场所、蟠龙镇社区文化站应急避难场所；片区内现有具备条件的公共场所。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改建</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县应急局</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四川省防灾减灾综合科普训练基地项目工程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主要建设安全及法律科普展示区；灾害事故沉浸式体验中心；室外专业实训区</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劳动镇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2035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县应急局</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先进技术应用重点工程</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科学预警能力建设工程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依托现有平台，推进多灾种监测预警系统建设。多源数据汇集，接入各部门已建成的灾害监测设备数据，进行多灾种综合研判分析。</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劳动镇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无新占地</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县应急局</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应急广播建设工程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按标准化建设应急广播站72个，建设应急广播指挥调度系统、制作播出系统、信息安全系统以及备份系统，实现区域广播通话网络全覆盖、无死角。</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片区各镇、村（社区）广播点</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无新占地</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县文化广电和旅游局</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720" w:firstLineChars="3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共建共治共享重点工程</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基层应急治理示范工程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创建国家级防震减灾科普示范学校1所、创建省级安全示范社区2个，综合减灾示范村（社区）2个</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劳动镇、石佛镇、蟠龙镇、宝林镇、龙门镇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无新占地</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2035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县应急局</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应急科普进万家工程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按照“乡镇建站、村社设点”的原则，5个乡镇要有应急宣传站、72个村（社区）要有应急宣传点。增加应急知识科普书籍、应急管理时事资讯等。各乡镇利用防灾减灾日、安全生产月、消防宣传月等重要节点组织开展应急知识培训、竞赛类活动，通过活动分发家庭版应急救援包</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片区各镇、各村/社区</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无新占地</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2035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县应急局</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r>
    </w:tbl>
    <w:p>
      <w:pPr>
        <w:keepNext w:val="0"/>
        <w:keepLines w:val="0"/>
        <w:widowControl/>
        <w:suppressLineNumbers w:val="0"/>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p>
    <w:sectPr>
      <w:pgSz w:w="16838" w:h="11906" w:orient="landscape"/>
      <w:pgMar w:top="1587" w:right="2098" w:bottom="1474" w:left="1984" w:header="851" w:footer="1134" w:gutter="0"/>
      <w:pgNumType w:start="1"/>
      <w:cols w:space="0" w:num="1"/>
      <w:rtlGutter w:val="0"/>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1EF93AA-C948-487C-BE4F-321AC3C8676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2" w:fontKey="{F83C486C-3161-4BD1-88FC-D026891DD3F7}"/>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embedRegular r:id="rId3" w:fontKey="{810DD85D-106C-4624-8E15-20FEE668E4CE}"/>
  </w:font>
  <w:font w:name="方正小标宋简体">
    <w:panose1 w:val="03000509000000000000"/>
    <w:charset w:val="86"/>
    <w:family w:val="script"/>
    <w:pitch w:val="default"/>
    <w:sig w:usb0="00000001" w:usb1="080E0000" w:usb2="00000000" w:usb3="00000000" w:csb0="00040000" w:csb1="00000000"/>
    <w:embedRegular r:id="rId4" w:fontKey="{1311BEB2-019B-4AE4-ACB9-2378D003D1DD}"/>
  </w:font>
  <w:font w:name="方正仿宋简体">
    <w:panose1 w:val="03000509000000000000"/>
    <w:charset w:val="86"/>
    <w:family w:val="script"/>
    <w:pitch w:val="default"/>
    <w:sig w:usb0="00000001" w:usb1="080E0000" w:usb2="00000000" w:usb3="00000000" w:csb0="00040000" w:csb1="00000000"/>
    <w:embedRegular r:id="rId5" w:fontKey="{CFD535F2-7A7E-4114-BECB-476639BBD706}"/>
  </w:font>
  <w:font w:name="方正仿宋_GBK">
    <w:panose1 w:val="02000000000000000000"/>
    <w:charset w:val="86"/>
    <w:family w:val="auto"/>
    <w:pitch w:val="default"/>
    <w:sig w:usb0="A00002BF" w:usb1="38CF7CFA" w:usb2="00082016" w:usb3="00000000" w:csb0="00040001" w:csb1="00000000"/>
    <w:embedRegular r:id="rId6" w:fontKey="{507F6F63-5BDC-49D6-BA30-3C9FCAB3924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128192"/>
    <w:multiLevelType w:val="singleLevel"/>
    <w:tmpl w:val="09128192"/>
    <w:lvl w:ilvl="0" w:tentative="0">
      <w:start w:val="1"/>
      <w:numFmt w:val="chineseCounting"/>
      <w:suff w:val="nothing"/>
      <w:lvlText w:val="（%1）"/>
      <w:lvlJc w:val="left"/>
      <w:rPr>
        <w:rFonts w:hint="eastAsia"/>
      </w:rPr>
    </w:lvl>
  </w:abstractNum>
  <w:abstractNum w:abstractNumId="1">
    <w:nsid w:val="305A74C6"/>
    <w:multiLevelType w:val="singleLevel"/>
    <w:tmpl w:val="305A74C6"/>
    <w:lvl w:ilvl="0" w:tentative="0">
      <w:start w:val="2"/>
      <w:numFmt w:val="chineseCounting"/>
      <w:suff w:val="nothing"/>
      <w:lvlText w:val="%1、"/>
      <w:lvlJc w:val="left"/>
      <w:rPr>
        <w:rFonts w:hint="eastAsia"/>
      </w:rPr>
    </w:lvl>
  </w:abstractNum>
  <w:abstractNum w:abstractNumId="2">
    <w:nsid w:val="4427E942"/>
    <w:multiLevelType w:val="singleLevel"/>
    <w:tmpl w:val="4427E942"/>
    <w:lvl w:ilvl="0" w:tentative="0">
      <w:start w:val="2"/>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220"/>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hNTlhZTRlN2I4NmNjZThjODRiYjFkMzYwZWIxZjUifQ=="/>
  </w:docVars>
  <w:rsids>
    <w:rsidRoot w:val="5C127E7E"/>
    <w:rsid w:val="00A25841"/>
    <w:rsid w:val="0163495B"/>
    <w:rsid w:val="024F63AD"/>
    <w:rsid w:val="03537E50"/>
    <w:rsid w:val="06732B84"/>
    <w:rsid w:val="075035B2"/>
    <w:rsid w:val="07C575C3"/>
    <w:rsid w:val="07EB5CB1"/>
    <w:rsid w:val="081E7517"/>
    <w:rsid w:val="09077811"/>
    <w:rsid w:val="09542984"/>
    <w:rsid w:val="11B7402B"/>
    <w:rsid w:val="127C13CB"/>
    <w:rsid w:val="12C2198B"/>
    <w:rsid w:val="12C6113C"/>
    <w:rsid w:val="12F20EEA"/>
    <w:rsid w:val="14F44EB3"/>
    <w:rsid w:val="16EF1231"/>
    <w:rsid w:val="176B5C9D"/>
    <w:rsid w:val="18B64764"/>
    <w:rsid w:val="19E90578"/>
    <w:rsid w:val="1DB26EDA"/>
    <w:rsid w:val="1DE577EA"/>
    <w:rsid w:val="1F5F184C"/>
    <w:rsid w:val="22615385"/>
    <w:rsid w:val="231963D0"/>
    <w:rsid w:val="2511043B"/>
    <w:rsid w:val="26333C01"/>
    <w:rsid w:val="27A05B33"/>
    <w:rsid w:val="27FF5D76"/>
    <w:rsid w:val="2A2A225B"/>
    <w:rsid w:val="2C111ECA"/>
    <w:rsid w:val="2E1378E7"/>
    <w:rsid w:val="2F4F381D"/>
    <w:rsid w:val="30EE30A1"/>
    <w:rsid w:val="32FC2270"/>
    <w:rsid w:val="34BC120A"/>
    <w:rsid w:val="34D142E6"/>
    <w:rsid w:val="34F800C3"/>
    <w:rsid w:val="35801C92"/>
    <w:rsid w:val="37B85359"/>
    <w:rsid w:val="398F7F91"/>
    <w:rsid w:val="3CD9400D"/>
    <w:rsid w:val="3DA51149"/>
    <w:rsid w:val="3E887D6C"/>
    <w:rsid w:val="3F2A1F62"/>
    <w:rsid w:val="3F397787"/>
    <w:rsid w:val="4285664D"/>
    <w:rsid w:val="42E03E3C"/>
    <w:rsid w:val="44914E4C"/>
    <w:rsid w:val="44C53F2C"/>
    <w:rsid w:val="45173001"/>
    <w:rsid w:val="4596314C"/>
    <w:rsid w:val="46146EA7"/>
    <w:rsid w:val="47861702"/>
    <w:rsid w:val="4871380E"/>
    <w:rsid w:val="49E07F5E"/>
    <w:rsid w:val="4B985E5F"/>
    <w:rsid w:val="4CC171C1"/>
    <w:rsid w:val="4D234993"/>
    <w:rsid w:val="4DC02BC7"/>
    <w:rsid w:val="4E226750"/>
    <w:rsid w:val="4F4E3227"/>
    <w:rsid w:val="51F02442"/>
    <w:rsid w:val="5360543E"/>
    <w:rsid w:val="54252F85"/>
    <w:rsid w:val="59A04B64"/>
    <w:rsid w:val="5A3B4BBC"/>
    <w:rsid w:val="5A740586"/>
    <w:rsid w:val="5C127E7E"/>
    <w:rsid w:val="5C2B45E2"/>
    <w:rsid w:val="5D5C050D"/>
    <w:rsid w:val="60A4004A"/>
    <w:rsid w:val="60C70B91"/>
    <w:rsid w:val="620E71CE"/>
    <w:rsid w:val="64E10D4B"/>
    <w:rsid w:val="65103EFB"/>
    <w:rsid w:val="66166268"/>
    <w:rsid w:val="66325C29"/>
    <w:rsid w:val="67EF10D9"/>
    <w:rsid w:val="69556CA1"/>
    <w:rsid w:val="69AB4C7C"/>
    <w:rsid w:val="69D1297F"/>
    <w:rsid w:val="6BD1370A"/>
    <w:rsid w:val="6D644BF1"/>
    <w:rsid w:val="6D9C5113"/>
    <w:rsid w:val="6FBA1EAC"/>
    <w:rsid w:val="70211B38"/>
    <w:rsid w:val="729460D5"/>
    <w:rsid w:val="731B7E50"/>
    <w:rsid w:val="74547D31"/>
    <w:rsid w:val="77D16763"/>
    <w:rsid w:val="78255FD3"/>
    <w:rsid w:val="795D594B"/>
    <w:rsid w:val="79B73C12"/>
    <w:rsid w:val="7D90691A"/>
    <w:rsid w:val="7DB4343C"/>
    <w:rsid w:val="7DE4295A"/>
    <w:rsid w:val="7DF84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50" w:lineRule="exact"/>
      <w:ind w:firstLine="640" w:firstLineChars="200"/>
    </w:pPr>
    <w:rPr>
      <w:rFonts w:ascii="Times New Roman" w:hAnsi="Times New Roman" w:eastAsia="仿宋" w:cs="Times New Roman"/>
      <w:kern w:val="2"/>
      <w:sz w:val="32"/>
      <w:szCs w:val="24"/>
      <w:lang w:val="en-US" w:eastAsia="zh-CN" w:bidi="ar-SA"/>
    </w:rPr>
  </w:style>
  <w:style w:type="paragraph" w:styleId="3">
    <w:name w:val="heading 1"/>
    <w:basedOn w:val="1"/>
    <w:next w:val="1"/>
    <w:qFormat/>
    <w:uiPriority w:val="9"/>
    <w:pPr>
      <w:keepNext/>
      <w:keepLines/>
      <w:ind w:firstLine="0" w:firstLineChars="0"/>
      <w:jc w:val="center"/>
      <w:outlineLvl w:val="0"/>
    </w:pPr>
    <w:rPr>
      <w:rFonts w:ascii="仿宋" w:hAnsi="仿宋" w:eastAsia="黑体"/>
      <w:bCs/>
      <w:kern w:val="44"/>
      <w:szCs w:val="44"/>
    </w:rPr>
  </w:style>
  <w:style w:type="paragraph" w:styleId="2">
    <w:name w:val="heading 2"/>
    <w:basedOn w:val="1"/>
    <w:next w:val="1"/>
    <w:link w:val="17"/>
    <w:unhideWhenUsed/>
    <w:qFormat/>
    <w:uiPriority w:val="9"/>
    <w:pPr>
      <w:keepNext/>
      <w:keepLines/>
      <w:ind w:firstLine="0" w:firstLineChars="0"/>
      <w:jc w:val="center"/>
      <w:outlineLvl w:val="1"/>
    </w:pPr>
    <w:rPr>
      <w:rFonts w:ascii="Calibri Light" w:hAnsi="Calibri Light" w:eastAsia="楷体"/>
      <w:bCs/>
      <w:szCs w:val="32"/>
    </w:rPr>
  </w:style>
  <w:style w:type="paragraph" w:styleId="4">
    <w:name w:val="heading 3"/>
    <w:basedOn w:val="1"/>
    <w:next w:val="1"/>
    <w:unhideWhenUsed/>
    <w:qFormat/>
    <w:uiPriority w:val="9"/>
    <w:pPr>
      <w:keepNext/>
      <w:keepLines/>
      <w:outlineLvl w:val="2"/>
    </w:pPr>
    <w:rPr>
      <w:b/>
      <w:bCs/>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next w:val="1"/>
    <w:unhideWhenUsed/>
    <w:qFormat/>
    <w:uiPriority w:val="99"/>
    <w:pPr>
      <w:spacing w:after="120"/>
    </w:pPr>
  </w:style>
  <w:style w:type="paragraph" w:styleId="7">
    <w:name w:val="Plain Text"/>
    <w:basedOn w:val="1"/>
    <w:qFormat/>
    <w:uiPriority w:val="99"/>
    <w:rPr>
      <w:rFonts w:ascii="宋体" w:hAnsi="Courier New" w:eastAsia="宋体" w:cs="宋体"/>
      <w:sz w:val="21"/>
      <w:szCs w:val="21"/>
    </w:rPr>
  </w:style>
  <w:style w:type="paragraph" w:styleId="8">
    <w:name w:val="footer"/>
    <w:basedOn w:val="1"/>
    <w:next w:val="1"/>
    <w:unhideWhenUsed/>
    <w:qFormat/>
    <w:uiPriority w:val="99"/>
    <w:pPr>
      <w:tabs>
        <w:tab w:val="center" w:pos="4153"/>
        <w:tab w:val="right" w:pos="8306"/>
      </w:tabs>
      <w:snapToGrid w:val="0"/>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563C1"/>
      <w:u w:val="single"/>
    </w:rPr>
  </w:style>
  <w:style w:type="character" w:styleId="16">
    <w:name w:val="annotation reference"/>
    <w:basedOn w:val="14"/>
    <w:semiHidden/>
    <w:unhideWhenUsed/>
    <w:qFormat/>
    <w:uiPriority w:val="99"/>
    <w:rPr>
      <w:sz w:val="21"/>
      <w:szCs w:val="21"/>
    </w:rPr>
  </w:style>
  <w:style w:type="character" w:customStyle="1" w:styleId="17">
    <w:name w:val="标题 2 Char"/>
    <w:link w:val="2"/>
    <w:qFormat/>
    <w:uiPriority w:val="0"/>
    <w:rPr>
      <w:rFonts w:ascii="Calibri Light" w:hAnsi="Calibri Light" w:eastAsia="楷体"/>
      <w:bCs/>
      <w:szCs w:val="32"/>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 w:type="paragraph" w:customStyle="1" w:styleId="19">
    <w:name w:val="WPSOffice手动目录 2"/>
    <w:qFormat/>
    <w:uiPriority w:val="0"/>
    <w:pPr>
      <w:ind w:leftChars="200"/>
    </w:pPr>
    <w:rPr>
      <w:rFonts w:ascii="Times New Roman" w:hAnsi="Times New Roman" w:eastAsia="宋体" w:cs="Times New Roman"/>
      <w:sz w:val="20"/>
      <w:szCs w:val="20"/>
    </w:rPr>
  </w:style>
  <w:style w:type="character" w:customStyle="1" w:styleId="20">
    <w:name w:val="font31"/>
    <w:basedOn w:val="14"/>
    <w:qFormat/>
    <w:uiPriority w:val="0"/>
    <w:rPr>
      <w:rFonts w:hint="eastAsia" w:ascii="仿宋" w:hAnsi="仿宋" w:eastAsia="仿宋" w:cs="仿宋"/>
      <w:color w:val="000000"/>
      <w:sz w:val="24"/>
      <w:szCs w:val="24"/>
      <w:u w:val="none"/>
    </w:rPr>
  </w:style>
  <w:style w:type="character" w:customStyle="1" w:styleId="21">
    <w:name w:val="font21"/>
    <w:basedOn w:val="14"/>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20351</Words>
  <Characters>21524</Characters>
  <Lines>0</Lines>
  <Paragraphs>0</Paragraphs>
  <TotalTime>33</TotalTime>
  <ScaleCrop>false</ScaleCrop>
  <LinksUpToDate>false</LinksUpToDate>
  <CharactersWithSpaces>21616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2022-05-18T06:34:00Z</dcterms:created>
  <dc:creator>刘星</dc:creator>
  <cp:lastModifiedBy>不将就.cn</cp:lastModifiedBy>
  <dcterms:modified xsi:type="dcterms:W3CDTF">2022-06-14T03:35:27Z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628526C3DC1A40A5A15C53137F24042F</vt:lpwstr>
  </property>
</Properties>
</file>